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B3B67">
      <w:pPr>
        <w:pStyle w:val="30"/>
        <w:bidi w:val="0"/>
        <w:rPr>
          <w:rFonts w:hint="eastAsia"/>
          <w:highlight w:val="none"/>
          <w:lang w:val="en-US" w:eastAsia="zh-CN"/>
        </w:rPr>
      </w:pPr>
      <w:bookmarkStart w:id="0" w:name="DBMark2"/>
      <w:r>
        <w:rPr>
          <w:rFonts w:hint="eastAsia" w:ascii="黑体" w:hAnsi="Times New Roman" w:eastAsia="黑体" w:cs="Times New Roman"/>
          <w:sz w:val="48"/>
          <w:highlight w:val="none"/>
          <w:lang w:val="en-US" w:eastAsia="zh-CN"/>
        </w:rPr>
        <w:fldChar w:fldCharType="begin">
          <w:ffData>
            <w:name w:val="DBMark2"/>
            <w:enabled/>
            <w:calcOnExit w:val="0"/>
            <w:textInput>
              <w:default w:val="云南省"/>
            </w:textInput>
          </w:ffData>
        </w:fldChar>
      </w:r>
      <w:r>
        <w:rPr>
          <w:rFonts w:hint="eastAsia" w:ascii="黑体" w:hAnsi="Times New Roman" w:eastAsia="黑体" w:cs="Times New Roman"/>
          <w:sz w:val="48"/>
          <w:highlight w:val="none"/>
          <w:lang w:val="en-US" w:eastAsia="zh-CN"/>
        </w:rPr>
        <w:instrText xml:space="preserve">FORMTEXT</w:instrText>
      </w:r>
      <w:r>
        <w:rPr>
          <w:rFonts w:hint="eastAsia" w:ascii="黑体" w:hAnsi="Times New Roman" w:eastAsia="黑体" w:cs="Times New Roman"/>
          <w:sz w:val="48"/>
          <w:highlight w:val="none"/>
          <w:lang w:val="en-US" w:eastAsia="zh-CN"/>
        </w:rPr>
        <w:fldChar w:fldCharType="separate"/>
      </w:r>
      <w:r>
        <w:rPr>
          <w:rFonts w:hint="eastAsia" w:ascii="黑体" w:hAnsi="Times New Roman" w:eastAsia="黑体" w:cs="Times New Roman"/>
          <w:sz w:val="48"/>
          <w:highlight w:val="none"/>
          <w:lang w:val="en-US" w:eastAsia="zh-CN"/>
        </w:rPr>
        <w:t>云南省</w:t>
      </w:r>
      <w:r>
        <w:rPr>
          <w:rFonts w:hint="eastAsia" w:ascii="黑体" w:hAnsi="Times New Roman" w:eastAsia="黑体" w:cs="Times New Roman"/>
          <w:sz w:val="48"/>
          <w:highlight w:val="none"/>
          <w:lang w:val="en-US" w:eastAsia="zh-CN"/>
        </w:rPr>
        <w:fldChar w:fldCharType="end"/>
      </w:r>
      <w:bookmarkEnd w:id="0"/>
      <w:r>
        <w:rPr>
          <w:rFonts w:hint="eastAsia"/>
          <w:highlight w:val="none"/>
          <w:lang w:val="en-US" w:eastAsia="zh-CN"/>
        </w:rPr>
        <w:t>地方标准</w:t>
      </w:r>
    </w:p>
    <w:p w14:paraId="1F5FCEFB">
      <w:pPr>
        <w:pStyle w:val="41"/>
        <w:bidi w:val="0"/>
        <w:rPr>
          <w:rFonts w:hint="eastAsia"/>
          <w:highlight w:val="none"/>
          <w:lang w:val="en-US" w:eastAsia="zh-CN"/>
        </w:rPr>
      </w:pPr>
      <w:bookmarkStart w:id="1" w:name="StandNo"/>
      <w:r>
        <w:rPr>
          <w:rFonts w:hint="eastAsia" w:ascii="黑体" w:hAnsi="Times New Roman" w:eastAsia="黑体" w:cs="Times New Roman"/>
          <w:sz w:val="28"/>
          <w:highlight w:val="none"/>
          <w:lang w:val="en-US" w:eastAsia="zh-CN"/>
        </w:rPr>
        <w:fldChar w:fldCharType="begin">
          <w:ffData>
            <w:name w:val="StandNo"/>
            <w:enabled/>
            <w:calcOnExit w:val="0"/>
            <w:textInput>
              <w:default w:val="DB53/T XXX—XXXX"/>
            </w:textInput>
          </w:ffData>
        </w:fldChar>
      </w:r>
      <w:r>
        <w:rPr>
          <w:rFonts w:hint="eastAsia" w:ascii="黑体" w:hAnsi="Times New Roman" w:eastAsia="黑体" w:cs="Times New Roman"/>
          <w:sz w:val="28"/>
          <w:highlight w:val="none"/>
          <w:lang w:val="en-US" w:eastAsia="zh-CN"/>
        </w:rPr>
        <w:instrText xml:space="preserve">FORMTEXT</w:instrText>
      </w:r>
      <w:r>
        <w:rPr>
          <w:rFonts w:hint="eastAsia" w:ascii="黑体" w:hAnsi="Times New Roman" w:eastAsia="黑体" w:cs="Times New Roman"/>
          <w:sz w:val="28"/>
          <w:highlight w:val="none"/>
          <w:lang w:val="en-US" w:eastAsia="zh-CN"/>
        </w:rPr>
        <w:fldChar w:fldCharType="separate"/>
      </w:r>
      <w:r>
        <w:rPr>
          <w:rFonts w:hint="eastAsia" w:ascii="黑体" w:hAnsi="Times New Roman" w:eastAsia="黑体" w:cs="Times New Roman"/>
          <w:sz w:val="28"/>
          <w:highlight w:val="none"/>
          <w:lang w:val="en-US" w:eastAsia="zh-CN"/>
        </w:rPr>
        <w:t>DB53/T XXX—XXXX</w:t>
      </w:r>
      <w:r>
        <w:rPr>
          <w:rFonts w:hint="eastAsia" w:ascii="黑体" w:hAnsi="Times New Roman" w:eastAsia="黑体" w:cs="Times New Roman"/>
          <w:sz w:val="28"/>
          <w:highlight w:val="none"/>
          <w:lang w:val="en-US" w:eastAsia="zh-CN"/>
        </w:rPr>
        <w:fldChar w:fldCharType="end"/>
      </w:r>
      <w:bookmarkEnd w:id="1"/>
    </w:p>
    <w:p w14:paraId="3E9BDCB1">
      <w:pPr>
        <w:pStyle w:val="40"/>
        <w:bidi w:val="0"/>
        <w:rPr>
          <w:rFonts w:hint="eastAsia"/>
          <w:highlight w:val="none"/>
          <w:lang w:val="en-US" w:eastAsia="zh-CN"/>
        </w:rPr>
      </w:pPr>
      <w:r>
        <w:rPr>
          <w:rFonts w:hint="eastAsia"/>
          <w:highlight w:val="none"/>
          <w:lang w:val="en-US" w:eastAsia="zh-CN"/>
        </w:rPr>
        <w:fldChar w:fldCharType="begin">
          <w:ffData>
            <w:name w:val="ReplaceDB"/>
            <w:enabled/>
            <w:calcOnExit w:val="0"/>
            <w:textInput/>
          </w:ffData>
        </w:fldChar>
      </w:r>
      <w:bookmarkStart w:id="2" w:name="ReplaceDB"/>
      <w:r>
        <w:rPr>
          <w:rFonts w:hint="eastAsia"/>
          <w:highlight w:val="none"/>
          <w:lang w:val="en-US" w:eastAsia="zh-CN"/>
        </w:rPr>
        <w:instrText xml:space="preserve">FORMTEXT</w:instrText>
      </w:r>
      <w:r>
        <w:rPr>
          <w:rFonts w:hint="eastAsia"/>
          <w:highlight w:val="none"/>
          <w:lang w:val="en-US" w:eastAsia="zh-CN"/>
        </w:rPr>
        <w:fldChar w:fldCharType="separate"/>
      </w:r>
      <w:r>
        <w:rPr>
          <w:rFonts w:hint="default"/>
          <w:highlight w:val="none"/>
          <w:lang w:val="en-US" w:eastAsia="zh-CN"/>
        </w:rPr>
        <w:t>     </w:t>
      </w:r>
      <w:r>
        <w:rPr>
          <w:rFonts w:hint="eastAsia"/>
          <w:highlight w:val="none"/>
          <w:lang w:val="en-US" w:eastAsia="zh-CN"/>
        </w:rPr>
        <w:fldChar w:fldCharType="end"/>
      </w:r>
      <w:bookmarkEnd w:id="2"/>
    </w:p>
    <w:tbl>
      <w:tblPr>
        <w:tblStyle w:val="21"/>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41"/>
      </w:tblGrid>
      <w:tr w14:paraId="37E8B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889" w:type="dxa"/>
            <w:tcBorders>
              <w:top w:val="single" w:color="auto" w:sz="8" w:space="0"/>
            </w:tcBorders>
          </w:tcPr>
          <w:p w14:paraId="47FBB00F">
            <w:pPr>
              <w:pStyle w:val="35"/>
              <w:widowControl w:val="0"/>
              <w:bidi w:val="0"/>
              <w:jc w:val="both"/>
              <w:rPr>
                <w:rFonts w:hint="eastAsia"/>
                <w:sz w:val="10"/>
                <w:highlight w:val="none"/>
                <w:vertAlign w:val="baseline"/>
                <w:lang w:val="en-US" w:eastAsia="zh-CN"/>
              </w:rPr>
            </w:pPr>
          </w:p>
        </w:tc>
      </w:tr>
    </w:tbl>
    <w:p w14:paraId="1D98C293">
      <w:pPr>
        <w:pStyle w:val="42"/>
        <w:bidi w:val="0"/>
        <w:rPr>
          <w:rFonts w:hint="eastAsia"/>
          <w:highlight w:val="none"/>
          <w:lang w:val="en-US" w:eastAsia="zh-CN"/>
        </w:rPr>
      </w:pPr>
      <w:bookmarkStart w:id="3" w:name="StdName"/>
      <w:r>
        <w:rPr>
          <w:rFonts w:hint="eastAsia" w:ascii="黑体" w:hAnsi="Times New Roman" w:eastAsia="黑体" w:cs="Times New Roman"/>
          <w:sz w:val="52"/>
          <w:highlight w:val="none"/>
          <w:lang w:val="en-US" w:eastAsia="zh-CN"/>
        </w:rPr>
        <w:fldChar w:fldCharType="begin">
          <w:ffData>
            <w:name w:val="StdName"/>
            <w:enabled/>
            <w:calcOnExit w:val="0"/>
            <w:textInput>
              <w:default w:val="烟叶复烤生产可持续发展规范（STP）实施指南  第二部分：体系构建"/>
            </w:textInput>
          </w:ffData>
        </w:fldChar>
      </w:r>
      <w:r>
        <w:rPr>
          <w:rFonts w:hint="eastAsia" w:ascii="黑体" w:hAnsi="Times New Roman" w:eastAsia="黑体" w:cs="Times New Roman"/>
          <w:sz w:val="52"/>
          <w:highlight w:val="none"/>
          <w:lang w:val="en-US" w:eastAsia="zh-CN"/>
        </w:rPr>
        <w:instrText xml:space="preserve">FORMTEXT</w:instrText>
      </w:r>
      <w:r>
        <w:rPr>
          <w:rFonts w:hint="eastAsia" w:ascii="黑体" w:hAnsi="Times New Roman" w:eastAsia="黑体" w:cs="Times New Roman"/>
          <w:sz w:val="52"/>
          <w:highlight w:val="none"/>
          <w:lang w:val="en-US" w:eastAsia="zh-CN"/>
        </w:rPr>
        <w:fldChar w:fldCharType="separate"/>
      </w:r>
      <w:r>
        <w:rPr>
          <w:rFonts w:hint="eastAsia" w:ascii="黑体" w:hAnsi="Times New Roman" w:eastAsia="黑体" w:cs="Times New Roman"/>
          <w:sz w:val="52"/>
          <w:highlight w:val="none"/>
          <w:lang w:val="en-US" w:eastAsia="zh-CN"/>
        </w:rPr>
        <w:t>烟叶复烤生产可持续发展规范实施指南  第</w:t>
      </w:r>
      <w:r>
        <w:rPr>
          <w:rFonts w:hint="eastAsia" w:cs="Times New Roman"/>
          <w:sz w:val="52"/>
          <w:highlight w:val="none"/>
          <w:lang w:val="en-US" w:eastAsia="zh-CN"/>
        </w:rPr>
        <w:t>2</w:t>
      </w:r>
      <w:r>
        <w:rPr>
          <w:rFonts w:hint="eastAsia" w:ascii="黑体" w:hAnsi="Times New Roman" w:eastAsia="黑体" w:cs="Times New Roman"/>
          <w:sz w:val="52"/>
          <w:highlight w:val="none"/>
          <w:lang w:val="en-US" w:eastAsia="zh-CN"/>
        </w:rPr>
        <w:t>部分：体系构建</w:t>
      </w:r>
      <w:r>
        <w:rPr>
          <w:rFonts w:hint="eastAsia" w:ascii="黑体" w:hAnsi="Times New Roman" w:eastAsia="黑体" w:cs="Times New Roman"/>
          <w:sz w:val="52"/>
          <w:highlight w:val="none"/>
          <w:lang w:val="en-US" w:eastAsia="zh-CN"/>
        </w:rPr>
        <w:fldChar w:fldCharType="end"/>
      </w:r>
      <w:bookmarkEnd w:id="3"/>
    </w:p>
    <w:p w14:paraId="2BEB0B1B">
      <w:pPr>
        <w:pStyle w:val="43"/>
        <w:bidi w:val="0"/>
        <w:rPr>
          <w:rFonts w:hint="eastAsia"/>
          <w:highlight w:val="none"/>
          <w:lang w:val="en-US" w:eastAsia="zh-CN"/>
        </w:rPr>
      </w:pPr>
      <w:r>
        <w:rPr>
          <w:rFonts w:hint="eastAsia"/>
          <w:highlight w:val="none"/>
          <w:lang w:val="en-US" w:eastAsia="zh-CN"/>
        </w:rPr>
        <w:fldChar w:fldCharType="begin">
          <w:ffData>
            <w:name w:val="StdEnglishName"/>
            <w:enabled/>
            <w:calcOnExit w:val="0"/>
            <w:textInput>
              <w:default w:val="点击此处添加标准英文译名"/>
            </w:textInput>
          </w:ffData>
        </w:fldChar>
      </w:r>
      <w:bookmarkStart w:id="4" w:name="StdEnglishName"/>
      <w:r>
        <w:rPr>
          <w:rFonts w:hint="eastAsia"/>
          <w:highlight w:val="none"/>
          <w:lang w:val="en-US" w:eastAsia="zh-CN"/>
        </w:rPr>
        <w:instrText xml:space="preserve">FORMTEXT</w:instrText>
      </w:r>
      <w:r>
        <w:rPr>
          <w:rFonts w:hint="eastAsia"/>
          <w:highlight w:val="none"/>
          <w:lang w:val="en-US" w:eastAsia="zh-CN"/>
        </w:rPr>
        <w:fldChar w:fldCharType="separate"/>
      </w:r>
      <w:r>
        <w:rPr>
          <w:rFonts w:hint="eastAsia"/>
          <w:highlight w:val="none"/>
          <w:lang w:val="en-US" w:eastAsia="zh-CN"/>
        </w:rPr>
        <w:t>点击此处添加标准英文译名</w:t>
      </w:r>
      <w:r>
        <w:rPr>
          <w:rFonts w:hint="eastAsia"/>
          <w:highlight w:val="none"/>
          <w:lang w:val="en-US" w:eastAsia="zh-CN"/>
        </w:rPr>
        <w:fldChar w:fldCharType="end"/>
      </w:r>
      <w:bookmarkEnd w:id="4"/>
    </w:p>
    <w:p w14:paraId="14317522">
      <w:pPr>
        <w:pStyle w:val="44"/>
        <w:pBdr>
          <w:top w:val="none" w:color="auto" w:sz="0" w:space="0"/>
          <w:left w:val="none" w:color="auto" w:sz="0" w:space="0"/>
          <w:bottom w:val="none" w:color="auto" w:sz="0" w:space="0"/>
          <w:right w:val="none" w:color="auto" w:sz="0" w:space="0"/>
        </w:pBdr>
        <w:bidi w:val="0"/>
        <w:rPr>
          <w:rFonts w:hint="default"/>
          <w:highlight w:val="none"/>
          <w:lang w:val="en-US" w:eastAsia="zh-CN"/>
        </w:rPr>
      </w:pPr>
      <w:bookmarkStart w:id="5" w:name="LB"/>
      <w:r>
        <w:rPr>
          <w:rFonts w:hint="eastAsia"/>
          <w:highlight w:val="none"/>
          <w:lang w:val="en-US" w:eastAsia="zh-CN"/>
        </w:rPr>
        <w:t>标准讨论稿</w:t>
      </w:r>
    </w:p>
    <w:p w14:paraId="4F82D39B">
      <w:pPr>
        <w:pStyle w:val="45"/>
        <w:bidi w:val="0"/>
        <w:spacing w:after="0"/>
        <w:rPr>
          <w:rFonts w:hint="eastAsia"/>
          <w:highlight w:val="none"/>
          <w:lang w:val="en-US" w:eastAsia="zh-CN"/>
        </w:rPr>
      </w:pPr>
      <w:r>
        <w:rPr>
          <w:rFonts w:hint="eastAsia" w:ascii="黑体" w:hAnsi="黑体" w:eastAsia="黑体" w:cs="黑体"/>
          <w:sz w:val="24"/>
          <w:highlight w:val="none"/>
          <w:lang w:val="en-US" w:eastAsia="zh-CN"/>
        </w:rPr>
        <w:fldChar w:fldCharType="begin">
          <w:ffData>
            <w:name w:val="LB"/>
            <w:enabled/>
            <w:calcOnExit w:val="0"/>
            <w:ddList>
              <w:listEntry w:val="     "/>
              <w:listEntry w:val="草案版次选择"/>
              <w:listEntry w:val="（工作组讨论稿）"/>
              <w:listEntry w:val="（征求意见稿）"/>
              <w:listEntry w:val="（送审讨论稿）"/>
              <w:listEntry w:val="（送审稿）"/>
              <w:listEntry w:val="（报批稿）"/>
            </w:ddList>
          </w:ffData>
        </w:fldChar>
      </w:r>
      <w:r>
        <w:rPr>
          <w:rFonts w:hint="eastAsia" w:ascii="黑体" w:hAnsi="黑体" w:eastAsia="黑体" w:cs="黑体"/>
          <w:sz w:val="24"/>
          <w:highlight w:val="none"/>
          <w:lang w:val="en-US" w:eastAsia="zh-CN"/>
        </w:rPr>
        <w:instrText xml:space="preserve">FORMDROPDOWN</w:instrText>
      </w:r>
      <w:r>
        <w:rPr>
          <w:rFonts w:hint="eastAsia" w:ascii="黑体" w:hAnsi="黑体" w:eastAsia="黑体" w:cs="黑体"/>
          <w:sz w:val="24"/>
          <w:highlight w:val="none"/>
          <w:lang w:val="en-US" w:eastAsia="zh-CN"/>
        </w:rPr>
        <w:fldChar w:fldCharType="separate"/>
      </w:r>
      <w:r>
        <w:rPr>
          <w:rFonts w:hint="eastAsia" w:ascii="黑体" w:hAnsi="黑体" w:eastAsia="黑体" w:cs="黑体"/>
          <w:sz w:val="24"/>
          <w:highlight w:val="none"/>
          <w:lang w:val="en-US" w:eastAsia="zh-CN"/>
        </w:rPr>
        <w:fldChar w:fldCharType="end"/>
      </w:r>
      <w:bookmarkEnd w:id="5"/>
    </w:p>
    <w:p w14:paraId="0BF44CFF">
      <w:pPr>
        <w:pStyle w:val="46"/>
        <w:bidi w:val="0"/>
        <w:spacing w:before="100"/>
        <w:rPr>
          <w:rFonts w:hint="eastAsia"/>
          <w:highlight w:val="none"/>
          <w:lang w:val="en-US" w:eastAsia="zh-CN"/>
        </w:rPr>
      </w:pPr>
      <w:r>
        <w:rPr>
          <w:rFonts w:hint="eastAsia"/>
          <w:highlight w:val="none"/>
          <w:lang w:val="en-US" w:eastAsia="zh-CN"/>
        </w:rPr>
        <w:fldChar w:fldCharType="begin">
          <w:ffData>
            <w:name w:val="WCRQ"/>
            <w:enabled/>
            <w:calcOnExit w:val="0"/>
            <w:textInput/>
          </w:ffData>
        </w:fldChar>
      </w:r>
      <w:bookmarkStart w:id="6" w:name="WCRQ"/>
      <w:r>
        <w:rPr>
          <w:rFonts w:hint="eastAsia"/>
          <w:highlight w:val="none"/>
          <w:lang w:val="en-US" w:eastAsia="zh-CN"/>
        </w:rPr>
        <w:instrText xml:space="preserve">FORMTEXT</w:instrText>
      </w:r>
      <w:r>
        <w:rPr>
          <w:rFonts w:hint="eastAsia"/>
          <w:highlight w:val="none"/>
          <w:lang w:val="en-US" w:eastAsia="zh-CN"/>
        </w:rPr>
        <w:fldChar w:fldCharType="separate"/>
      </w:r>
      <w:r>
        <w:rPr>
          <w:rFonts w:hint="default"/>
          <w:highlight w:val="none"/>
          <w:lang w:val="en-US" w:eastAsia="zh-CN"/>
        </w:rPr>
        <w:t>     </w:t>
      </w:r>
      <w:r>
        <w:rPr>
          <w:rFonts w:hint="eastAsia"/>
          <w:highlight w:val="none"/>
          <w:lang w:val="en-US" w:eastAsia="zh-CN"/>
        </w:rPr>
        <w:fldChar w:fldCharType="end"/>
      </w:r>
      <w:bookmarkEnd w:id="6"/>
    </w:p>
    <w:tbl>
      <w:tblPr>
        <w:tblStyle w:val="21"/>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70"/>
        <w:gridCol w:w="4871"/>
      </w:tblGrid>
      <w:tr w14:paraId="5242D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944" w:type="dxa"/>
            <w:tcBorders>
              <w:bottom w:val="single" w:color="auto" w:sz="8" w:space="0"/>
            </w:tcBorders>
            <w:tcMar>
              <w:left w:w="57" w:type="dxa"/>
              <w:bottom w:w="28" w:type="dxa"/>
            </w:tcMar>
          </w:tcPr>
          <w:p w14:paraId="36B2041B">
            <w:pPr>
              <w:pStyle w:val="39"/>
              <w:widowControl w:val="0"/>
              <w:bidi w:val="0"/>
              <w:jc w:val="both"/>
              <w:rPr>
                <w:rFonts w:hint="eastAsia"/>
                <w:highlight w:val="none"/>
                <w:vertAlign w:val="baseline"/>
                <w:lang w:val="en-US" w:eastAsia="zh-CN"/>
              </w:rPr>
            </w:pPr>
            <w:r>
              <w:rPr>
                <w:rFonts w:hint="eastAsia"/>
                <w:highlight w:val="none"/>
                <w:vertAlign w:val="baseline"/>
                <w:lang w:val="en-US" w:eastAsia="zh-CN"/>
              </w:rPr>
              <w:fldChar w:fldCharType="begin">
                <w:ffData>
                  <w:name w:val="FY"/>
                  <w:enabled/>
                  <w:calcOnExit w:val="0"/>
                  <w:textInput>
                    <w:default w:val="XXXX"/>
                    <w:maxLength w:val="4"/>
                  </w:textInput>
                </w:ffData>
              </w:fldChar>
            </w:r>
            <w:bookmarkStart w:id="7" w:name="FY"/>
            <w:r>
              <w:rPr>
                <w:rFonts w:hint="eastAsia"/>
                <w:highlight w:val="none"/>
                <w:vertAlign w:val="baseline"/>
                <w:lang w:val="en-US" w:eastAsia="zh-CN"/>
              </w:rPr>
              <w:instrText xml:space="preserve">FORMTEXT</w:instrText>
            </w:r>
            <w:r>
              <w:rPr>
                <w:rFonts w:hint="eastAsia"/>
                <w:highlight w:val="none"/>
                <w:vertAlign w:val="baseline"/>
                <w:lang w:val="en-US" w:eastAsia="zh-CN"/>
              </w:rPr>
              <w:fldChar w:fldCharType="separate"/>
            </w:r>
            <w:r>
              <w:rPr>
                <w:rFonts w:hint="eastAsia"/>
                <w:highlight w:val="none"/>
                <w:vertAlign w:val="baseline"/>
                <w:lang w:val="en-US" w:eastAsia="zh-CN"/>
              </w:rPr>
              <w:t>XXXX</w:t>
            </w:r>
            <w:r>
              <w:rPr>
                <w:rFonts w:hint="eastAsia"/>
                <w:highlight w:val="none"/>
                <w:vertAlign w:val="baseline"/>
                <w:lang w:val="en-US" w:eastAsia="zh-CN"/>
              </w:rPr>
              <w:fldChar w:fldCharType="end"/>
            </w:r>
            <w:bookmarkEnd w:id="7"/>
            <w:r>
              <w:rPr>
                <w:rFonts w:hint="eastAsia"/>
                <w:highlight w:val="none"/>
                <w:vertAlign w:val="baseline"/>
                <w:lang w:val="en-US" w:eastAsia="zh-CN"/>
              </w:rPr>
              <w:t xml:space="preserve"> - </w:t>
            </w:r>
            <w:r>
              <w:rPr>
                <w:rFonts w:hint="eastAsia"/>
                <w:highlight w:val="none"/>
                <w:vertAlign w:val="baseline"/>
                <w:lang w:val="en-US" w:eastAsia="zh-CN"/>
              </w:rPr>
              <w:fldChar w:fldCharType="begin">
                <w:ffData>
                  <w:name w:val="FM"/>
                  <w:enabled/>
                  <w:calcOnExit w:val="0"/>
                  <w:textInput>
                    <w:default w:val="XX"/>
                    <w:maxLength w:val="2"/>
                  </w:textInput>
                </w:ffData>
              </w:fldChar>
            </w:r>
            <w:bookmarkStart w:id="8" w:name="FM"/>
            <w:r>
              <w:rPr>
                <w:rFonts w:hint="eastAsia"/>
                <w:highlight w:val="none"/>
                <w:vertAlign w:val="baseline"/>
                <w:lang w:val="en-US" w:eastAsia="zh-CN"/>
              </w:rPr>
              <w:instrText xml:space="preserve">FORMTEXT</w:instrText>
            </w:r>
            <w:r>
              <w:rPr>
                <w:rFonts w:hint="eastAsia"/>
                <w:highlight w:val="none"/>
                <w:vertAlign w:val="baseline"/>
                <w:lang w:val="en-US" w:eastAsia="zh-CN"/>
              </w:rPr>
              <w:fldChar w:fldCharType="separate"/>
            </w:r>
            <w:r>
              <w:rPr>
                <w:rFonts w:hint="eastAsia"/>
                <w:highlight w:val="none"/>
                <w:vertAlign w:val="baseline"/>
                <w:lang w:val="en-US" w:eastAsia="zh-CN"/>
              </w:rPr>
              <w:t>XX</w:t>
            </w:r>
            <w:r>
              <w:rPr>
                <w:rFonts w:hint="eastAsia"/>
                <w:highlight w:val="none"/>
                <w:vertAlign w:val="baseline"/>
                <w:lang w:val="en-US" w:eastAsia="zh-CN"/>
              </w:rPr>
              <w:fldChar w:fldCharType="end"/>
            </w:r>
            <w:bookmarkEnd w:id="8"/>
            <w:r>
              <w:rPr>
                <w:rFonts w:hint="eastAsia"/>
                <w:highlight w:val="none"/>
                <w:vertAlign w:val="baseline"/>
                <w:lang w:val="en-US" w:eastAsia="zh-CN"/>
              </w:rPr>
              <w:t xml:space="preserve"> - </w:t>
            </w:r>
            <w:r>
              <w:rPr>
                <w:rFonts w:hint="eastAsia"/>
                <w:highlight w:val="none"/>
                <w:vertAlign w:val="baseline"/>
                <w:lang w:val="en-US" w:eastAsia="zh-CN"/>
              </w:rPr>
              <w:fldChar w:fldCharType="begin">
                <w:ffData>
                  <w:name w:val="FD"/>
                  <w:enabled/>
                  <w:calcOnExit w:val="0"/>
                  <w:textInput>
                    <w:default w:val="XX"/>
                    <w:maxLength w:val="2"/>
                  </w:textInput>
                </w:ffData>
              </w:fldChar>
            </w:r>
            <w:bookmarkStart w:id="9" w:name="FD"/>
            <w:r>
              <w:rPr>
                <w:rFonts w:hint="eastAsia"/>
                <w:highlight w:val="none"/>
                <w:vertAlign w:val="baseline"/>
                <w:lang w:val="en-US" w:eastAsia="zh-CN"/>
              </w:rPr>
              <w:instrText xml:space="preserve">FORMTEXT</w:instrText>
            </w:r>
            <w:r>
              <w:rPr>
                <w:rFonts w:hint="eastAsia"/>
                <w:highlight w:val="none"/>
                <w:vertAlign w:val="baseline"/>
                <w:lang w:val="en-US" w:eastAsia="zh-CN"/>
              </w:rPr>
              <w:fldChar w:fldCharType="separate"/>
            </w:r>
            <w:r>
              <w:rPr>
                <w:rFonts w:hint="eastAsia"/>
                <w:highlight w:val="none"/>
                <w:vertAlign w:val="baseline"/>
                <w:lang w:val="en-US" w:eastAsia="zh-CN"/>
              </w:rPr>
              <w:t>XX</w:t>
            </w:r>
            <w:r>
              <w:rPr>
                <w:rFonts w:hint="eastAsia"/>
                <w:highlight w:val="none"/>
                <w:vertAlign w:val="baseline"/>
                <w:lang w:val="en-US" w:eastAsia="zh-CN"/>
              </w:rPr>
              <w:fldChar w:fldCharType="end"/>
            </w:r>
            <w:bookmarkEnd w:id="9"/>
            <w:r>
              <w:rPr>
                <w:rFonts w:hint="eastAsia"/>
                <w:highlight w:val="none"/>
                <w:vertAlign w:val="baseline"/>
                <w:lang w:val="en-US" w:eastAsia="zh-CN"/>
              </w:rPr>
              <w:t xml:space="preserve"> 发布</w:t>
            </w:r>
          </w:p>
        </w:tc>
        <w:tc>
          <w:tcPr>
            <w:tcW w:w="4945" w:type="dxa"/>
            <w:tcBorders>
              <w:bottom w:val="single" w:color="auto" w:sz="8" w:space="0"/>
            </w:tcBorders>
            <w:tcMar>
              <w:right w:w="57" w:type="dxa"/>
            </w:tcMar>
          </w:tcPr>
          <w:p w14:paraId="3636E3C1">
            <w:pPr>
              <w:pStyle w:val="39"/>
              <w:widowControl w:val="0"/>
              <w:bidi w:val="0"/>
              <w:jc w:val="right"/>
              <w:rPr>
                <w:rFonts w:hint="eastAsia"/>
                <w:highlight w:val="none"/>
                <w:vertAlign w:val="baseline"/>
                <w:lang w:val="en-US" w:eastAsia="zh-CN"/>
              </w:rPr>
            </w:pPr>
            <w:r>
              <w:rPr>
                <w:rFonts w:hint="eastAsia"/>
                <w:highlight w:val="none"/>
                <w:vertAlign w:val="baseline"/>
                <w:lang w:val="en-US" w:eastAsia="zh-CN"/>
              </w:rPr>
              <w:fldChar w:fldCharType="begin">
                <w:ffData>
                  <w:name w:val="SY"/>
                  <w:enabled/>
                  <w:calcOnExit w:val="0"/>
                  <w:textInput>
                    <w:default w:val="XXXX"/>
                    <w:maxLength w:val="4"/>
                  </w:textInput>
                </w:ffData>
              </w:fldChar>
            </w:r>
            <w:bookmarkStart w:id="10" w:name="SY"/>
            <w:r>
              <w:rPr>
                <w:rFonts w:hint="eastAsia"/>
                <w:highlight w:val="none"/>
                <w:vertAlign w:val="baseline"/>
                <w:lang w:val="en-US" w:eastAsia="zh-CN"/>
              </w:rPr>
              <w:instrText xml:space="preserve">FORMTEXT</w:instrText>
            </w:r>
            <w:r>
              <w:rPr>
                <w:rFonts w:hint="eastAsia"/>
                <w:highlight w:val="none"/>
                <w:vertAlign w:val="baseline"/>
                <w:lang w:val="en-US" w:eastAsia="zh-CN"/>
              </w:rPr>
              <w:fldChar w:fldCharType="separate"/>
            </w:r>
            <w:r>
              <w:rPr>
                <w:rFonts w:hint="eastAsia"/>
                <w:highlight w:val="none"/>
                <w:vertAlign w:val="baseline"/>
                <w:lang w:val="en-US" w:eastAsia="zh-CN"/>
              </w:rPr>
              <w:t>XXXX</w:t>
            </w:r>
            <w:r>
              <w:rPr>
                <w:rFonts w:hint="eastAsia"/>
                <w:highlight w:val="none"/>
                <w:vertAlign w:val="baseline"/>
                <w:lang w:val="en-US" w:eastAsia="zh-CN"/>
              </w:rPr>
              <w:fldChar w:fldCharType="end"/>
            </w:r>
            <w:bookmarkEnd w:id="10"/>
            <w:r>
              <w:rPr>
                <w:rFonts w:hint="eastAsia"/>
                <w:highlight w:val="none"/>
                <w:vertAlign w:val="baseline"/>
                <w:lang w:val="en-US" w:eastAsia="zh-CN"/>
              </w:rPr>
              <w:t xml:space="preserve"> - </w:t>
            </w:r>
            <w:r>
              <w:rPr>
                <w:rFonts w:hint="eastAsia"/>
                <w:highlight w:val="none"/>
                <w:vertAlign w:val="baseline"/>
                <w:lang w:val="en-US" w:eastAsia="zh-CN"/>
              </w:rPr>
              <w:fldChar w:fldCharType="begin">
                <w:ffData>
                  <w:name w:val="SM"/>
                  <w:enabled/>
                  <w:calcOnExit w:val="0"/>
                  <w:textInput>
                    <w:default w:val="XX"/>
                    <w:maxLength w:val="2"/>
                  </w:textInput>
                </w:ffData>
              </w:fldChar>
            </w:r>
            <w:bookmarkStart w:id="11" w:name="SM"/>
            <w:r>
              <w:rPr>
                <w:rFonts w:hint="eastAsia"/>
                <w:highlight w:val="none"/>
                <w:vertAlign w:val="baseline"/>
                <w:lang w:val="en-US" w:eastAsia="zh-CN"/>
              </w:rPr>
              <w:instrText xml:space="preserve">FORMTEXT</w:instrText>
            </w:r>
            <w:r>
              <w:rPr>
                <w:rFonts w:hint="eastAsia"/>
                <w:highlight w:val="none"/>
                <w:vertAlign w:val="baseline"/>
                <w:lang w:val="en-US" w:eastAsia="zh-CN"/>
              </w:rPr>
              <w:fldChar w:fldCharType="separate"/>
            </w:r>
            <w:r>
              <w:rPr>
                <w:rFonts w:hint="eastAsia"/>
                <w:highlight w:val="none"/>
                <w:vertAlign w:val="baseline"/>
                <w:lang w:val="en-US" w:eastAsia="zh-CN"/>
              </w:rPr>
              <w:t>XX</w:t>
            </w:r>
            <w:r>
              <w:rPr>
                <w:rFonts w:hint="eastAsia"/>
                <w:highlight w:val="none"/>
                <w:vertAlign w:val="baseline"/>
                <w:lang w:val="en-US" w:eastAsia="zh-CN"/>
              </w:rPr>
              <w:fldChar w:fldCharType="end"/>
            </w:r>
            <w:bookmarkEnd w:id="11"/>
            <w:r>
              <w:rPr>
                <w:rFonts w:hint="eastAsia"/>
                <w:highlight w:val="none"/>
                <w:vertAlign w:val="baseline"/>
                <w:lang w:val="en-US" w:eastAsia="zh-CN"/>
              </w:rPr>
              <w:t xml:space="preserve"> - </w:t>
            </w:r>
            <w:r>
              <w:rPr>
                <w:rFonts w:hint="eastAsia"/>
                <w:highlight w:val="none"/>
                <w:vertAlign w:val="baseline"/>
                <w:lang w:val="en-US" w:eastAsia="zh-CN"/>
              </w:rPr>
              <w:fldChar w:fldCharType="begin">
                <w:ffData>
                  <w:name w:val="SD"/>
                  <w:enabled/>
                  <w:calcOnExit w:val="0"/>
                  <w:textInput>
                    <w:default w:val="XX"/>
                    <w:maxLength w:val="2"/>
                  </w:textInput>
                </w:ffData>
              </w:fldChar>
            </w:r>
            <w:bookmarkStart w:id="12" w:name="SD"/>
            <w:r>
              <w:rPr>
                <w:rFonts w:hint="eastAsia"/>
                <w:highlight w:val="none"/>
                <w:vertAlign w:val="baseline"/>
                <w:lang w:val="en-US" w:eastAsia="zh-CN"/>
              </w:rPr>
              <w:instrText xml:space="preserve">FORMTEXT</w:instrText>
            </w:r>
            <w:r>
              <w:rPr>
                <w:rFonts w:hint="eastAsia"/>
                <w:highlight w:val="none"/>
                <w:vertAlign w:val="baseline"/>
                <w:lang w:val="en-US" w:eastAsia="zh-CN"/>
              </w:rPr>
              <w:fldChar w:fldCharType="separate"/>
            </w:r>
            <w:r>
              <w:rPr>
                <w:rFonts w:hint="eastAsia"/>
                <w:highlight w:val="none"/>
                <w:vertAlign w:val="baseline"/>
                <w:lang w:val="en-US" w:eastAsia="zh-CN"/>
              </w:rPr>
              <w:t>XX</w:t>
            </w:r>
            <w:r>
              <w:rPr>
                <w:rFonts w:hint="eastAsia"/>
                <w:highlight w:val="none"/>
                <w:vertAlign w:val="baseline"/>
                <w:lang w:val="en-US" w:eastAsia="zh-CN"/>
              </w:rPr>
              <w:fldChar w:fldCharType="end"/>
            </w:r>
            <w:bookmarkEnd w:id="12"/>
            <w:r>
              <w:rPr>
                <w:rFonts w:hint="eastAsia"/>
                <w:highlight w:val="none"/>
                <w:vertAlign w:val="baseline"/>
                <w:lang w:val="en-US" w:eastAsia="zh-CN"/>
              </w:rPr>
              <w:t xml:space="preserve"> 实施</w:t>
            </w:r>
          </w:p>
        </w:tc>
      </w:tr>
    </w:tbl>
    <w:p w14:paraId="781FABC6">
      <w:pPr>
        <w:pStyle w:val="49"/>
        <w:bidi w:val="0"/>
        <w:spacing w:before="0"/>
        <w:rPr>
          <w:rFonts w:hint="eastAsia"/>
          <w:spacing w:val="0"/>
          <w:w w:val="100"/>
          <w:sz w:val="28"/>
          <w:highlight w:val="none"/>
          <w:lang w:val="en-US" w:eastAsia="zh-CN"/>
        </w:rPr>
      </w:pPr>
      <w:bookmarkStart w:id="13" w:name="FM2"/>
      <w:r>
        <w:rPr>
          <w:rFonts w:hint="eastAsia" w:ascii="黑体" w:hAnsi="黑体" w:eastAsia="黑体" w:cs="Times New Roman"/>
          <w:spacing w:val="0"/>
          <w:w w:val="100"/>
          <w:sz w:val="28"/>
          <w:highlight w:val="none"/>
          <w:lang w:val="en-US" w:eastAsia="zh-CN"/>
        </w:rPr>
        <w:fldChar w:fldCharType="begin">
          <w:ffData>
            <w:name w:val="FM2"/>
            <w:enabled/>
            <w:calcOnExit w:val="0"/>
            <w:textInput>
              <w:default w:val="云南省市场监督管理局"/>
            </w:textInput>
          </w:ffData>
        </w:fldChar>
      </w:r>
      <w:r>
        <w:rPr>
          <w:rFonts w:hint="eastAsia" w:ascii="黑体" w:hAnsi="黑体" w:eastAsia="黑体" w:cs="Times New Roman"/>
          <w:spacing w:val="0"/>
          <w:w w:val="100"/>
          <w:sz w:val="28"/>
          <w:highlight w:val="none"/>
          <w:lang w:val="en-US" w:eastAsia="zh-CN"/>
        </w:rPr>
        <w:instrText xml:space="preserve">FORMTEXT</w:instrText>
      </w:r>
      <w:r>
        <w:rPr>
          <w:rFonts w:hint="eastAsia" w:ascii="黑体" w:hAnsi="黑体" w:eastAsia="黑体" w:cs="Times New Roman"/>
          <w:spacing w:val="0"/>
          <w:w w:val="100"/>
          <w:sz w:val="28"/>
          <w:highlight w:val="none"/>
          <w:lang w:val="en-US" w:eastAsia="zh-CN"/>
        </w:rPr>
        <w:fldChar w:fldCharType="separate"/>
      </w:r>
      <w:r>
        <w:rPr>
          <w:rFonts w:hint="eastAsia" w:ascii="黑体" w:hAnsi="黑体" w:eastAsia="黑体" w:cs="Times New Roman"/>
          <w:spacing w:val="0"/>
          <w:w w:val="100"/>
          <w:sz w:val="28"/>
          <w:highlight w:val="none"/>
          <w:lang w:val="en-US" w:eastAsia="zh-CN"/>
        </w:rPr>
        <w:t>云南省市场监督管理局</w:t>
      </w:r>
      <w:r>
        <w:rPr>
          <w:rFonts w:hint="eastAsia" w:ascii="黑体" w:hAnsi="黑体" w:eastAsia="黑体" w:cs="Times New Roman"/>
          <w:spacing w:val="0"/>
          <w:w w:val="100"/>
          <w:sz w:val="28"/>
          <w:highlight w:val="none"/>
          <w:lang w:val="en-US" w:eastAsia="zh-CN"/>
        </w:rPr>
        <w:fldChar w:fldCharType="end"/>
      </w:r>
      <w:bookmarkEnd w:id="13"/>
      <w:r>
        <w:rPr>
          <w:rFonts w:hint="eastAsia"/>
          <w:sz w:val="28"/>
          <w:highlight w:val="none"/>
          <w:lang w:val="en-US" w:eastAsia="zh-CN"/>
        </w:rPr>
        <w:t>  </w:t>
      </w:r>
      <w:r>
        <w:rPr>
          <w:rFonts w:hint="eastAsia"/>
          <w:spacing w:val="85"/>
          <w:w w:val="100"/>
          <w:sz w:val="28"/>
          <w:highlight w:val="none"/>
          <w:lang w:val="en-US" w:eastAsia="zh-CN"/>
        </w:rPr>
        <w:t>发</w:t>
      </w:r>
      <w:r>
        <w:rPr>
          <w:rFonts w:hint="eastAsia"/>
          <w:spacing w:val="0"/>
          <w:w w:val="100"/>
          <w:sz w:val="28"/>
          <w:highlight w:val="none"/>
          <w:lang w:val="en-US" w:eastAsia="zh-CN"/>
        </w:rPr>
        <w:t>布</w:t>
      </w:r>
    </w:p>
    <w:tbl>
      <w:tblPr>
        <w:tblStyle w:val="2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3"/>
        <w:gridCol w:w="9107"/>
      </w:tblGrid>
      <w:tr w14:paraId="1C4F0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44A9CA48">
            <w:pPr>
              <w:pStyle w:val="53"/>
              <w:framePr w:w="9639" w:wrap="around"/>
              <w:bidi w:val="0"/>
              <w:jc w:val="both"/>
              <w:rPr>
                <w:rFonts w:hint="eastAsia"/>
                <w:highlight w:val="none"/>
                <w:vertAlign w:val="baseline"/>
                <w:lang w:val="en-US" w:eastAsia="zh-CN"/>
              </w:rPr>
            </w:pPr>
            <w:r>
              <w:rPr>
                <w:rFonts w:hint="eastAsia"/>
                <w:highlight w:val="none"/>
                <w:vertAlign w:val="baseline"/>
                <w:lang w:val="en-US" w:eastAsia="zh-CN"/>
              </w:rPr>
              <w:t>ICS</w:t>
            </w:r>
          </w:p>
        </w:tc>
        <w:tc>
          <w:tcPr>
            <w:tcW w:w="9107" w:type="dxa"/>
          </w:tcPr>
          <w:p w14:paraId="3EE946E9">
            <w:pPr>
              <w:pStyle w:val="53"/>
              <w:framePr w:w="9639" w:wrap="around"/>
              <w:bidi w:val="0"/>
              <w:jc w:val="both"/>
              <w:rPr>
                <w:rFonts w:hint="eastAsia"/>
                <w:highlight w:val="none"/>
                <w:vertAlign w:val="baseline"/>
                <w:lang w:val="en-US" w:eastAsia="zh-CN"/>
              </w:rPr>
            </w:pPr>
            <w:bookmarkStart w:id="14" w:name="ICS"/>
            <w:r>
              <w:rPr>
                <w:rFonts w:hint="eastAsia"/>
                <w:highlight w:val="none"/>
                <w:vertAlign w:val="baseline"/>
                <w:lang w:val="en-US" w:eastAsia="zh-CN"/>
              </w:rPr>
              <w:fldChar w:fldCharType="begin">
                <w:ffData>
                  <w:name w:val="ICS"/>
                  <w:enabled/>
                  <w:calcOnExit w:val="0"/>
                  <w:textInput>
                    <w:default w:val="点击此处添加ICS号"/>
                  </w:textInput>
                </w:ffData>
              </w:fldChar>
            </w:r>
            <w:r>
              <w:rPr>
                <w:rFonts w:hint="eastAsia"/>
                <w:highlight w:val="none"/>
                <w:vertAlign w:val="baseline"/>
                <w:lang w:val="en-US" w:eastAsia="zh-CN"/>
              </w:rPr>
              <w:instrText xml:space="preserve">FORMTEXT</w:instrText>
            </w:r>
            <w:r>
              <w:rPr>
                <w:rFonts w:hint="eastAsia"/>
                <w:highlight w:val="none"/>
                <w:vertAlign w:val="baseline"/>
                <w:lang w:val="en-US" w:eastAsia="zh-CN"/>
              </w:rPr>
              <w:fldChar w:fldCharType="separate"/>
            </w:r>
            <w:r>
              <w:rPr>
                <w:rFonts w:hint="eastAsia"/>
                <w:highlight w:val="none"/>
                <w:vertAlign w:val="baseline"/>
                <w:lang w:val="en-US" w:eastAsia="zh-CN"/>
              </w:rPr>
              <w:t>点击此处添加ICS号</w:t>
            </w:r>
            <w:r>
              <w:rPr>
                <w:rFonts w:hint="eastAsia"/>
                <w:highlight w:val="none"/>
                <w:vertAlign w:val="baseline"/>
                <w:lang w:val="en-US" w:eastAsia="zh-CN"/>
              </w:rPr>
              <w:fldChar w:fldCharType="end"/>
            </w:r>
            <w:bookmarkEnd w:id="14"/>
          </w:p>
        </w:tc>
      </w:tr>
      <w:tr w14:paraId="3A8B8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05088071">
            <w:pPr>
              <w:pStyle w:val="53"/>
              <w:framePr w:w="9639" w:wrap="around"/>
              <w:bidi w:val="0"/>
              <w:jc w:val="both"/>
              <w:rPr>
                <w:rFonts w:hint="eastAsia"/>
                <w:highlight w:val="none"/>
                <w:vertAlign w:val="baseline"/>
                <w:lang w:val="en-US" w:eastAsia="zh-CN"/>
              </w:rPr>
            </w:pPr>
            <w:r>
              <w:rPr>
                <w:rFonts w:hint="eastAsia"/>
                <w:highlight w:val="none"/>
                <w:vertAlign w:val="baseline"/>
                <w:lang w:val="en-US" w:eastAsia="zh-CN"/>
              </w:rPr>
              <w:t>CCS</w:t>
            </w:r>
          </w:p>
        </w:tc>
        <w:tc>
          <w:tcPr>
            <w:tcW w:w="9107" w:type="dxa"/>
          </w:tcPr>
          <w:p w14:paraId="6E6298CD">
            <w:pPr>
              <w:pStyle w:val="53"/>
              <w:framePr w:w="9639" w:wrap="around"/>
              <w:bidi w:val="0"/>
              <w:jc w:val="both"/>
              <w:rPr>
                <w:rFonts w:hint="eastAsia"/>
                <w:highlight w:val="none"/>
                <w:vertAlign w:val="baseline"/>
                <w:lang w:val="en-US" w:eastAsia="zh-CN"/>
              </w:rPr>
            </w:pPr>
            <w:bookmarkStart w:id="15" w:name="CCS"/>
            <w:r>
              <w:rPr>
                <w:rFonts w:hint="eastAsia"/>
                <w:highlight w:val="none"/>
                <w:vertAlign w:val="baseline"/>
                <w:lang w:val="en-US" w:eastAsia="zh-CN"/>
              </w:rPr>
              <w:fldChar w:fldCharType="begin">
                <w:ffData>
                  <w:name w:val="CCS"/>
                  <w:enabled/>
                  <w:calcOnExit w:val="0"/>
                  <w:textInput>
                    <w:default w:val="点击此处添加CCS号"/>
                  </w:textInput>
                </w:ffData>
              </w:fldChar>
            </w:r>
            <w:r>
              <w:rPr>
                <w:rFonts w:hint="eastAsia"/>
                <w:highlight w:val="none"/>
                <w:vertAlign w:val="baseline"/>
                <w:lang w:val="en-US" w:eastAsia="zh-CN"/>
              </w:rPr>
              <w:instrText xml:space="preserve">FORMTEXT</w:instrText>
            </w:r>
            <w:r>
              <w:rPr>
                <w:rFonts w:hint="eastAsia"/>
                <w:highlight w:val="none"/>
                <w:vertAlign w:val="baseline"/>
                <w:lang w:val="en-US" w:eastAsia="zh-CN"/>
              </w:rPr>
              <w:fldChar w:fldCharType="separate"/>
            </w:r>
            <w:r>
              <w:rPr>
                <w:rFonts w:hint="eastAsia"/>
                <w:highlight w:val="none"/>
                <w:vertAlign w:val="baseline"/>
                <w:lang w:val="en-US" w:eastAsia="zh-CN"/>
              </w:rPr>
              <w:t>点击此处添加CCS号</w:t>
            </w:r>
            <w:r>
              <w:rPr>
                <w:rFonts w:hint="eastAsia"/>
                <w:highlight w:val="none"/>
                <w:vertAlign w:val="baseline"/>
                <w:lang w:val="en-US" w:eastAsia="zh-CN"/>
              </w:rPr>
              <w:fldChar w:fldCharType="end"/>
            </w:r>
            <w:bookmarkEnd w:id="15"/>
          </w:p>
          <w:tbl>
            <w:tblPr>
              <w:tblStyle w:val="21"/>
              <w:tblpPr w:vertAnchor="page" w:horzAnchor="margin" w:tblpXSpec="right" w:tblpY="114"/>
              <w:tblOverlap w:val="never"/>
              <w:tblW w:w="66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62"/>
            </w:tblGrid>
            <w:tr w14:paraId="63D46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107" w:type="dxa"/>
                  <w:vAlign w:val="center"/>
                </w:tcPr>
                <w:p w14:paraId="04FA7FB2">
                  <w:pPr>
                    <w:pStyle w:val="53"/>
                    <w:framePr w:w="9639" w:wrap="around"/>
                    <w:bidi w:val="0"/>
                    <w:jc w:val="right"/>
                    <w:rPr>
                      <w:rFonts w:hint="eastAsia" w:ascii="Times New Roman" w:hAnsi="Times New Roman" w:eastAsia="宋体" w:cs="Times New Roman"/>
                      <w:b/>
                      <w:w w:val="130"/>
                      <w:kern w:val="0"/>
                      <w:sz w:val="21"/>
                      <w:highlight w:val="none"/>
                      <w:vertAlign w:val="baseline"/>
                      <w:lang w:val="en-US" w:eastAsia="zh-CN"/>
                    </w:rPr>
                  </w:pPr>
                  <w:r>
                    <w:rPr>
                      <w:rFonts w:hint="eastAsia" w:ascii="Times New Roman" w:hAnsi="Times New Roman" w:eastAsia="宋体" w:cs="Times New Roman"/>
                      <w:b/>
                      <w:w w:val="130"/>
                      <w:kern w:val="0"/>
                      <w:sz w:val="96"/>
                      <w:highlight w:val="none"/>
                      <w:vertAlign w:val="baseline"/>
                      <w:lang w:val="en-US" w:eastAsia="zh-CN"/>
                    </w:rPr>
                    <w:drawing>
                      <wp:inline distT="0" distB="0" distL="114300" distR="114300">
                        <wp:extent cx="798195" cy="399415"/>
                        <wp:effectExtent l="0" t="0" r="1905" b="6985"/>
                        <wp:docPr id="1" name="图片 1" descr="地标"/>
                        <wp:cNvGraphicFramePr/>
                        <a:graphic xmlns:a="http://schemas.openxmlformats.org/drawingml/2006/main">
                          <a:graphicData uri="http://schemas.openxmlformats.org/drawingml/2006/picture">
                            <pic:pic xmlns:pic="http://schemas.openxmlformats.org/drawingml/2006/picture">
                              <pic:nvPicPr>
                                <pic:cNvPr id="1" name="图片 1" descr="地标"/>
                                <pic:cNvPicPr/>
                              </pic:nvPicPr>
                              <pic:blipFill>
                                <a:blip r:embed="rId9"/>
                                <a:stretch>
                                  <a:fillRect/>
                                </a:stretch>
                              </pic:blipFill>
                              <pic:spPr>
                                <a:xfrm>
                                  <a:off x="0" y="0"/>
                                  <a:ext cx="798195" cy="399415"/>
                                </a:xfrm>
                                <a:prstGeom prst="rect">
                                  <a:avLst/>
                                </a:prstGeom>
                              </pic:spPr>
                            </pic:pic>
                          </a:graphicData>
                        </a:graphic>
                      </wp:inline>
                    </w:drawing>
                  </w:r>
                  <w:r>
                    <w:rPr>
                      <w:rFonts w:hint="eastAsia" w:ascii="Times New Roman" w:eastAsia="宋体" w:cs="Times New Roman"/>
                      <w:b/>
                      <w:w w:val="130"/>
                      <w:kern w:val="0"/>
                      <w:sz w:val="21"/>
                      <w:highlight w:val="none"/>
                      <w:vertAlign w:val="baseline"/>
                      <w:lang w:val="en-US" w:eastAsia="zh-CN"/>
                    </w:rPr>
                    <w:t xml:space="preserve"> </w:t>
                  </w:r>
                  <w:bookmarkStart w:id="16" w:name="DBMark"/>
                  <w:r>
                    <w:rPr>
                      <w:rFonts w:hint="eastAsia" w:ascii="Times New Roman" w:hAnsi="Times New Roman" w:eastAsia="宋体" w:cs="Times New Roman"/>
                      <w:b/>
                      <w:w w:val="130"/>
                      <w:kern w:val="0"/>
                      <w:sz w:val="96"/>
                      <w:highlight w:val="none"/>
                      <w:vertAlign w:val="baseline"/>
                      <w:lang w:val="en-US" w:eastAsia="zh-CN"/>
                    </w:rPr>
                    <w:fldChar w:fldCharType="begin">
                      <w:ffData>
                        <w:name w:val="DBMark"/>
                        <w:enabled/>
                        <w:calcOnExit w:val="0"/>
                        <w:textInput>
                          <w:default w:val="53"/>
                          <w:maxLength w:val="8"/>
                        </w:textInput>
                      </w:ffData>
                    </w:fldChar>
                  </w:r>
                  <w:r>
                    <w:rPr>
                      <w:rFonts w:hint="eastAsia" w:ascii="Times New Roman" w:hAnsi="Times New Roman" w:eastAsia="宋体" w:cs="Times New Roman"/>
                      <w:b/>
                      <w:w w:val="130"/>
                      <w:kern w:val="0"/>
                      <w:sz w:val="96"/>
                      <w:highlight w:val="none"/>
                      <w:vertAlign w:val="baseline"/>
                      <w:lang w:val="en-US" w:eastAsia="zh-CN"/>
                    </w:rPr>
                    <w:instrText xml:space="preserve">FORMTEXT</w:instrText>
                  </w:r>
                  <w:r>
                    <w:rPr>
                      <w:rFonts w:hint="eastAsia" w:ascii="Times New Roman" w:hAnsi="Times New Roman" w:eastAsia="宋体" w:cs="Times New Roman"/>
                      <w:b/>
                      <w:w w:val="130"/>
                      <w:kern w:val="0"/>
                      <w:sz w:val="96"/>
                      <w:highlight w:val="none"/>
                      <w:vertAlign w:val="baseline"/>
                      <w:lang w:val="en-US" w:eastAsia="zh-CN"/>
                    </w:rPr>
                    <w:fldChar w:fldCharType="separate"/>
                  </w:r>
                  <w:r>
                    <w:rPr>
                      <w:rFonts w:hint="eastAsia" w:ascii="Times New Roman" w:hAnsi="Times New Roman" w:eastAsia="宋体" w:cs="Times New Roman"/>
                      <w:b/>
                      <w:w w:val="130"/>
                      <w:kern w:val="0"/>
                      <w:sz w:val="96"/>
                      <w:highlight w:val="none"/>
                      <w:vertAlign w:val="baseline"/>
                      <w:lang w:val="en-US" w:eastAsia="zh-CN"/>
                    </w:rPr>
                    <w:t>53</w:t>
                  </w:r>
                  <w:r>
                    <w:rPr>
                      <w:rFonts w:hint="eastAsia" w:ascii="Times New Roman" w:hAnsi="Times New Roman" w:eastAsia="宋体" w:cs="Times New Roman"/>
                      <w:b/>
                      <w:w w:val="130"/>
                      <w:kern w:val="0"/>
                      <w:sz w:val="96"/>
                      <w:highlight w:val="none"/>
                      <w:vertAlign w:val="baseline"/>
                      <w:lang w:val="en-US" w:eastAsia="zh-CN"/>
                    </w:rPr>
                    <w:fldChar w:fldCharType="end"/>
                  </w:r>
                  <w:bookmarkEnd w:id="16"/>
                </w:p>
              </w:tc>
            </w:tr>
          </w:tbl>
          <w:p w14:paraId="35BEA85F">
            <w:pPr>
              <w:pStyle w:val="53"/>
              <w:framePr w:w="9639" w:wrap="around"/>
              <w:bidi w:val="0"/>
              <w:jc w:val="both"/>
              <w:rPr>
                <w:rFonts w:hint="eastAsia"/>
                <w:highlight w:val="none"/>
                <w:vertAlign w:val="baseline"/>
                <w:lang w:val="en-US" w:eastAsia="zh-CN"/>
              </w:rPr>
            </w:pPr>
          </w:p>
        </w:tc>
      </w:tr>
    </w:tbl>
    <w:p w14:paraId="332A4A53">
      <w:pPr>
        <w:pStyle w:val="53"/>
        <w:framePr w:w="9639" w:wrap="around"/>
        <w:bidi w:val="0"/>
        <w:rPr>
          <w:rFonts w:hint="eastAsia"/>
          <w:highlight w:val="none"/>
          <w:lang w:val="en-US" w:eastAsia="zh-CN"/>
        </w:rPr>
        <w:sectPr>
          <w:headerReference r:id="rId3" w:type="default"/>
          <w:footerReference r:id="rId4" w:type="default"/>
          <w:pgSz w:w="11906" w:h="16838"/>
          <w:pgMar w:top="-340" w:right="1134" w:bottom="1021" w:left="1134" w:header="0" w:footer="0" w:gutter="284"/>
          <w:lnNumType w:countBy="0" w:restart="continuous"/>
          <w:pgNumType w:fmt="decimal" w:start="1"/>
          <w:cols w:space="425" w:num="1"/>
          <w:titlePg/>
          <w:docGrid w:type="lines" w:linePitch="312" w:charSpace="0"/>
        </w:sectPr>
      </w:pPr>
    </w:p>
    <w:p w14:paraId="47991FCB">
      <w:pPr>
        <w:pStyle w:val="55"/>
        <w:bidi w:val="0"/>
        <w:rPr>
          <w:rFonts w:hint="eastAsia"/>
          <w:highlight w:val="none"/>
          <w:lang w:val="en-US" w:eastAsia="zh-CN"/>
        </w:rPr>
      </w:pPr>
      <w:r>
        <w:rPr>
          <w:rFonts w:hint="eastAsia"/>
          <w:spacing w:val="317"/>
          <w:highlight w:val="none"/>
          <w:lang w:val="en-US" w:eastAsia="zh-CN"/>
        </w:rPr>
        <w:t>前</w:t>
      </w:r>
      <w:bookmarkStart w:id="17" w:name="BKQY"/>
      <w:r>
        <w:rPr>
          <w:rFonts w:hint="eastAsia"/>
          <w:highlight w:val="none"/>
          <w:lang w:val="en-US" w:eastAsia="zh-CN"/>
        </w:rPr>
        <w:t>言</w:t>
      </w:r>
    </w:p>
    <w:p w14:paraId="74577930">
      <w:pPr>
        <w:pStyle w:val="25"/>
        <w:bidi w:val="0"/>
        <w:rPr>
          <w:rFonts w:hint="eastAsia"/>
          <w:highlight w:val="none"/>
          <w:lang w:val="en-US" w:eastAsia="zh-CN"/>
        </w:rPr>
      </w:pPr>
      <w:r>
        <w:rPr>
          <w:rFonts w:hint="eastAsia"/>
          <w:highlight w:val="none"/>
          <w:lang w:val="en-US" w:eastAsia="zh-CN"/>
        </w:rPr>
        <w:t>本文件按照GB/T 1.1—2020《标准化工作导则  第1部分：标准化文件的结构和起草规则》的规定起草。</w:t>
      </w:r>
    </w:p>
    <w:p w14:paraId="7F0B3C02">
      <w:pPr>
        <w:pStyle w:val="25"/>
        <w:bidi w:val="0"/>
        <w:rPr>
          <w:rFonts w:hint="eastAsia"/>
          <w:highlight w:val="none"/>
          <w:lang w:val="en-US" w:eastAsia="zh-CN"/>
        </w:rPr>
      </w:pPr>
    </w:p>
    <w:p w14:paraId="7B315952">
      <w:pPr>
        <w:pStyle w:val="25"/>
        <w:bidi w:val="0"/>
        <w:rPr>
          <w:rFonts w:hint="eastAsia"/>
          <w:highlight w:val="none"/>
          <w:lang w:val="en-US" w:eastAsia="zh-CN"/>
        </w:rPr>
      </w:pPr>
    </w:p>
    <w:p w14:paraId="74C6B682">
      <w:pPr>
        <w:pStyle w:val="25"/>
        <w:bidi w:val="0"/>
        <w:rPr>
          <w:rFonts w:hint="eastAsia"/>
          <w:highlight w:val="none"/>
          <w:lang w:val="en-US" w:eastAsia="zh-CN"/>
        </w:rPr>
      </w:pPr>
      <w:r>
        <w:rPr>
          <w:rFonts w:hint="eastAsia"/>
          <w:highlight w:val="none"/>
          <w:lang w:val="en-US" w:eastAsia="zh-CN"/>
        </w:rPr>
        <w:t>请注意本文件的某些内容可能涉及专利。本文件的发布机构不承担识别专利的责任。</w:t>
      </w:r>
    </w:p>
    <w:p w14:paraId="437BE3E8">
      <w:pPr>
        <w:pStyle w:val="25"/>
        <w:bidi w:val="0"/>
        <w:rPr>
          <w:rFonts w:hint="eastAsia"/>
          <w:highlight w:val="none"/>
          <w:lang w:val="en-US" w:eastAsia="zh-CN"/>
        </w:rPr>
      </w:pPr>
      <w:r>
        <w:rPr>
          <w:rFonts w:hint="eastAsia"/>
          <w:highlight w:val="none"/>
          <w:lang w:val="en-US" w:eastAsia="zh-CN"/>
        </w:rPr>
        <w:t>本文件由××××提出。</w:t>
      </w:r>
    </w:p>
    <w:p w14:paraId="3A86B67C">
      <w:pPr>
        <w:pStyle w:val="25"/>
        <w:bidi w:val="0"/>
        <w:rPr>
          <w:rFonts w:hint="eastAsia"/>
          <w:highlight w:val="none"/>
          <w:lang w:val="en-US" w:eastAsia="zh-CN"/>
        </w:rPr>
      </w:pPr>
      <w:r>
        <w:rPr>
          <w:rFonts w:hint="eastAsia"/>
          <w:highlight w:val="none"/>
          <w:lang w:val="en-US" w:eastAsia="zh-CN"/>
        </w:rPr>
        <w:t>本文件由××××归口。</w:t>
      </w:r>
    </w:p>
    <w:p w14:paraId="09C86CA2">
      <w:pPr>
        <w:pStyle w:val="25"/>
        <w:bidi w:val="0"/>
        <w:rPr>
          <w:rFonts w:hint="eastAsia"/>
          <w:highlight w:val="none"/>
          <w:lang w:val="en-US" w:eastAsia="zh-CN"/>
        </w:rPr>
      </w:pPr>
      <w:r>
        <w:rPr>
          <w:rFonts w:hint="eastAsia"/>
          <w:highlight w:val="none"/>
          <w:lang w:val="en-US" w:eastAsia="zh-CN"/>
        </w:rPr>
        <w:t>本文件起草单位：</w:t>
      </w:r>
    </w:p>
    <w:p w14:paraId="78EC6C7D">
      <w:pPr>
        <w:pStyle w:val="25"/>
        <w:bidi w:val="0"/>
        <w:rPr>
          <w:rFonts w:hint="eastAsia"/>
          <w:highlight w:val="none"/>
          <w:lang w:val="en-US" w:eastAsia="zh-CN"/>
        </w:rPr>
      </w:pPr>
      <w:r>
        <w:rPr>
          <w:rFonts w:hint="eastAsia"/>
          <w:highlight w:val="none"/>
          <w:lang w:val="en-US" w:eastAsia="zh-CN"/>
        </w:rPr>
        <w:t>本文件主要起草人：</w:t>
      </w:r>
    </w:p>
    <w:p w14:paraId="0C48DD66">
      <w:pPr>
        <w:pStyle w:val="25"/>
        <w:bidi w:val="0"/>
        <w:rPr>
          <w:rFonts w:hint="eastAsia"/>
          <w:highlight w:val="none"/>
          <w:lang w:val="en-US" w:eastAsia="zh-CN"/>
        </w:rPr>
      </w:pPr>
    </w:p>
    <w:bookmarkEnd w:id="17"/>
    <w:p w14:paraId="7FDC56DB">
      <w:pPr>
        <w:rPr>
          <w:rFonts w:hint="eastAsia"/>
          <w:highlight w:val="none"/>
          <w:lang w:val="en-US" w:eastAsia="zh-CN"/>
        </w:rPr>
      </w:pPr>
    </w:p>
    <w:p w14:paraId="75AB587D">
      <w:pPr>
        <w:rPr>
          <w:rFonts w:hint="eastAsia"/>
          <w:highlight w:val="none"/>
          <w:lang w:val="en-US" w:eastAsia="zh-CN"/>
        </w:rPr>
      </w:pPr>
    </w:p>
    <w:p w14:paraId="2B7BD85C">
      <w:pPr>
        <w:rPr>
          <w:rFonts w:hint="eastAsia"/>
          <w:highlight w:val="none"/>
          <w:lang w:val="en-US" w:eastAsia="zh-CN"/>
        </w:rPr>
        <w:sectPr>
          <w:headerReference r:id="rId5" w:type="default"/>
          <w:footerReference r:id="rId6" w:type="default"/>
          <w:pgSz w:w="11906" w:h="16838"/>
          <w:pgMar w:top="2410" w:right="1134" w:bottom="1134" w:left="1134" w:header="1418" w:footer="1134" w:gutter="284"/>
          <w:lnNumType w:countBy="0" w:restart="continuous"/>
          <w:pgNumType w:fmt="upperRoman" w:start="1"/>
          <w:cols w:space="425" w:num="1"/>
          <w:docGrid w:type="lines" w:linePitch="312" w:charSpace="0"/>
        </w:sectPr>
      </w:pPr>
    </w:p>
    <w:sdt>
      <w:sdtPr>
        <w:rPr>
          <w:rStyle w:val="120"/>
          <w:rFonts w:hint="eastAsia"/>
          <w:highlight w:val="none"/>
          <w:lang w:val="en-US" w:eastAsia="zh-CN"/>
        </w:rPr>
        <w:tag w:val="StandardName"/>
        <w:id w:val="147456671"/>
        <w:lock w:val="sdtLocked"/>
        <w:placeholder>
          <w:docPart w:val="{f9d6ba3e-2b6e-4bea-953f-0b9bc2e7e5e3}"/>
        </w:placeholder>
      </w:sdtPr>
      <w:sdtEndPr>
        <w:rPr>
          <w:rStyle w:val="120"/>
          <w:rFonts w:hint="eastAsia"/>
          <w:highlight w:val="none"/>
          <w:lang w:val="en-US" w:eastAsia="zh-CN"/>
        </w:rPr>
      </w:sdtEndPr>
      <w:sdtContent>
        <w:p w14:paraId="15330843">
          <w:pPr>
            <w:pStyle w:val="56"/>
            <w:bidi w:val="0"/>
            <w:rPr>
              <w:rStyle w:val="120"/>
              <w:rFonts w:hint="eastAsia"/>
              <w:highlight w:val="none"/>
              <w:lang w:val="en-US" w:eastAsia="zh-CN"/>
            </w:rPr>
          </w:pPr>
          <w:bookmarkStart w:id="18" w:name="StandardName"/>
          <w:r>
            <w:rPr>
              <w:rStyle w:val="120"/>
              <w:rFonts w:hint="eastAsia"/>
              <w:highlight w:val="none"/>
              <w:lang w:val="en-US" w:eastAsia="zh-CN"/>
            </w:rPr>
            <w:t>烟叶复烤生产</w:t>
          </w:r>
          <w:bookmarkStart w:id="22" w:name="_GoBack"/>
          <w:bookmarkEnd w:id="22"/>
          <w:r>
            <w:rPr>
              <w:rStyle w:val="120"/>
              <w:rFonts w:hint="eastAsia"/>
              <w:highlight w:val="none"/>
              <w:lang w:val="en-US" w:eastAsia="zh-CN"/>
            </w:rPr>
            <w:t>可持续发展规范实施指南  第2部分：体系构建</w:t>
          </w:r>
          <w:bookmarkEnd w:id="18"/>
        </w:p>
      </w:sdtContent>
    </w:sdt>
    <w:p w14:paraId="51449167">
      <w:pPr>
        <w:pStyle w:val="72"/>
        <w:bidi w:val="0"/>
        <w:rPr>
          <w:rStyle w:val="120"/>
          <w:rFonts w:hint="eastAsia"/>
          <w:highlight w:val="none"/>
          <w:lang w:val="en-US" w:eastAsia="zh-CN"/>
        </w:rPr>
      </w:pPr>
      <w:r>
        <w:rPr>
          <w:rFonts w:hint="eastAsia"/>
          <w:highlight w:val="none"/>
          <w:lang w:val="en-US" w:eastAsia="zh-CN"/>
        </w:rPr>
        <w:t>范围</w:t>
      </w:r>
    </w:p>
    <w:p w14:paraId="0CD6116F">
      <w:pPr>
        <w:pStyle w:val="25"/>
        <w:bidi w:val="0"/>
        <w:rPr>
          <w:rFonts w:hint="default"/>
          <w:highlight w:val="none"/>
          <w:lang w:val="en-US" w:eastAsia="zh-CN"/>
        </w:rPr>
      </w:pPr>
      <w:r>
        <w:rPr>
          <w:rFonts w:hint="eastAsia"/>
          <w:highlight w:val="none"/>
          <w:lang w:val="en-US" w:eastAsia="zh-CN"/>
        </w:rPr>
        <w:t>本文件规定了烟叶复烤生产企业可持续发展规范实施指南体系构建的总体要求、体系构建方法和体系结构及内容。</w:t>
      </w:r>
    </w:p>
    <w:p w14:paraId="2C92FEDF">
      <w:pPr>
        <w:pStyle w:val="25"/>
        <w:rPr>
          <w:rFonts w:hint="default"/>
          <w:highlight w:val="none"/>
          <w:lang w:val="en-US" w:eastAsia="zh-CN"/>
        </w:rPr>
      </w:pPr>
      <w:r>
        <w:rPr>
          <w:rFonts w:hint="eastAsia"/>
          <w:highlight w:val="none"/>
          <w:lang w:val="en-US" w:eastAsia="zh-CN"/>
        </w:rPr>
        <w:t>本文件适用于烟叶复烤生产企业可持续发展标准体系构建。其他相关烟叶生产企业可参照执行。</w:t>
      </w:r>
    </w:p>
    <w:p w14:paraId="6AEA4E86">
      <w:pPr>
        <w:pStyle w:val="72"/>
        <w:bidi w:val="0"/>
        <w:rPr>
          <w:rFonts w:hint="eastAsia"/>
          <w:highlight w:val="none"/>
          <w:lang w:val="en-US" w:eastAsia="zh-CN"/>
        </w:rPr>
      </w:pPr>
      <w:r>
        <w:rPr>
          <w:rFonts w:hint="eastAsia"/>
          <w:highlight w:val="none"/>
          <w:lang w:val="en-US" w:eastAsia="zh-CN"/>
        </w:rPr>
        <w:t>规范性引用文件</w:t>
      </w:r>
    </w:p>
    <w:sdt>
      <w:sdtPr>
        <w:rPr>
          <w:rFonts w:hint="eastAsia" w:ascii="宋体" w:hAnsi="Times New Roman" w:eastAsia="宋体" w:cs="宋体"/>
          <w:sz w:val="21"/>
          <w:highlight w:val="none"/>
          <w:lang w:val="en-US" w:eastAsia="zh-CN"/>
        </w:rPr>
        <w:tag w:val="StandNameFile"/>
        <w:id w:val="147456782"/>
        <w:placeholder>
          <w:docPart w:val="{3cd7e756-939e-4e43-8281-8734dbd1c558}"/>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rFonts w:hint="eastAsia" w:ascii="宋体" w:hAnsi="Times New Roman" w:eastAsia="宋体" w:cs="宋体"/>
          <w:sz w:val="21"/>
          <w:highlight w:val="none"/>
          <w:lang w:val="en-US" w:eastAsia="zh-CN"/>
        </w:rPr>
      </w:sdtEndPr>
      <w:sdtContent>
        <w:p w14:paraId="2C0DFE43">
          <w:pPr>
            <w:pStyle w:val="25"/>
            <w:bidi w:val="0"/>
            <w:rPr>
              <w:rFonts w:hint="eastAsia" w:ascii="宋体" w:hAnsi="Times New Roman" w:eastAsia="宋体" w:cs="宋体"/>
              <w:sz w:val="21"/>
              <w:highlight w:val="none"/>
              <w:lang w:val="en-US" w:eastAsia="zh-CN"/>
            </w:rPr>
          </w:pPr>
          <w:r>
            <w:rPr>
              <w:rFonts w:hint="eastAsia" w:ascii="宋体" w:hAnsi="Times New Roman" w:eastAsia="宋体" w:cs="宋体"/>
              <w:sz w:val="21"/>
              <w:highlight w:val="none"/>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537C782">
      <w:pPr>
        <w:pStyle w:val="25"/>
        <w:bidi w:val="0"/>
        <w:rPr>
          <w:rFonts w:hint="eastAsia" w:ascii="宋体" w:hAnsi="Times New Roman" w:eastAsia="宋体" w:cs="宋体"/>
          <w:sz w:val="21"/>
          <w:highlight w:val="none"/>
          <w:lang w:val="en-US" w:eastAsia="zh-CN"/>
        </w:rPr>
      </w:pPr>
      <w:r>
        <w:rPr>
          <w:rFonts w:ascii="宋体" w:hAnsi="宋体" w:eastAsia="宋体" w:cs="宋体"/>
          <w:spacing w:val="-7"/>
          <w:position w:val="7"/>
          <w:sz w:val="22"/>
          <w:szCs w:val="22"/>
          <w:highlight w:val="none"/>
        </w:rPr>
        <w:t>GB/T</w:t>
      </w:r>
      <w:r>
        <w:rPr>
          <w:rFonts w:hint="eastAsia" w:ascii="宋体" w:hAnsi="宋体" w:eastAsia="宋体" w:cs="宋体"/>
          <w:spacing w:val="70"/>
          <w:position w:val="7"/>
          <w:sz w:val="22"/>
          <w:szCs w:val="22"/>
          <w:highlight w:val="none"/>
          <w:lang w:val="en-US" w:eastAsia="zh-CN"/>
        </w:rPr>
        <w:t xml:space="preserve"> </w:t>
      </w:r>
      <w:r>
        <w:rPr>
          <w:rFonts w:ascii="宋体" w:hAnsi="宋体" w:eastAsia="宋体" w:cs="宋体"/>
          <w:spacing w:val="-7"/>
          <w:position w:val="7"/>
          <w:sz w:val="22"/>
          <w:szCs w:val="22"/>
          <w:highlight w:val="none"/>
        </w:rPr>
        <w:t>13016</w:t>
      </w:r>
      <w:r>
        <w:rPr>
          <w:rFonts w:hint="eastAsia" w:ascii="宋体" w:hAnsi="宋体" w:eastAsia="宋体" w:cs="宋体"/>
          <w:spacing w:val="88"/>
          <w:position w:val="7"/>
          <w:sz w:val="22"/>
          <w:szCs w:val="22"/>
          <w:highlight w:val="none"/>
          <w:lang w:val="en-US" w:eastAsia="zh-CN"/>
        </w:rPr>
        <w:t xml:space="preserve"> </w:t>
      </w:r>
      <w:r>
        <w:rPr>
          <w:rFonts w:ascii="宋体" w:hAnsi="宋体" w:eastAsia="宋体" w:cs="宋体"/>
          <w:spacing w:val="-7"/>
          <w:position w:val="7"/>
          <w:sz w:val="22"/>
          <w:szCs w:val="22"/>
          <w:highlight w:val="none"/>
        </w:rPr>
        <w:t>标准体系构建原则和要求</w:t>
      </w:r>
    </w:p>
    <w:p w14:paraId="660FA9FE">
      <w:pPr>
        <w:pStyle w:val="72"/>
        <w:bidi w:val="0"/>
        <w:rPr>
          <w:rFonts w:hint="eastAsia" w:ascii="宋体" w:hAnsi="Times New Roman" w:eastAsia="宋体" w:cs="宋体"/>
          <w:highlight w:val="none"/>
          <w:lang w:val="en-US" w:eastAsia="zh-CN"/>
        </w:rPr>
      </w:pPr>
      <w:r>
        <w:rPr>
          <w:rFonts w:hint="eastAsia"/>
          <w:highlight w:val="none"/>
          <w:lang w:val="en-US" w:eastAsia="zh-CN"/>
        </w:rPr>
        <w:t>术语和定义</w:t>
      </w:r>
    </w:p>
    <w:sdt>
      <w:sdtPr>
        <w:rPr>
          <w:rFonts w:hint="eastAsia" w:ascii="宋体" w:hAnsi="Times New Roman" w:eastAsia="宋体" w:cs="宋体"/>
          <w:sz w:val="21"/>
          <w:highlight w:val="none"/>
          <w:lang w:val="en-US" w:eastAsia="zh-CN"/>
        </w:rPr>
        <w:tag w:val="TermContent"/>
        <w:id w:val="147479954"/>
        <w:placeholder>
          <w:docPart w:val="{586bde2f-f29c-4c78-823d-fcbfc8d45f0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宋体" w:hAnsi="Times New Roman" w:eastAsia="宋体" w:cs="宋体"/>
          <w:sz w:val="21"/>
          <w:highlight w:val="none"/>
          <w:lang w:val="en-US" w:eastAsia="zh-CN"/>
        </w:rPr>
      </w:sdtEndPr>
      <w:sdtContent>
        <w:p w14:paraId="274BDC93">
          <w:pPr>
            <w:pStyle w:val="25"/>
            <w:rPr>
              <w:rFonts w:hint="eastAsia"/>
              <w:highlight w:val="none"/>
              <w:lang w:val="en-US" w:eastAsia="zh-CN"/>
            </w:rPr>
          </w:pPr>
          <w:r>
            <w:rPr>
              <w:rFonts w:hint="eastAsia" w:ascii="宋体" w:hAnsi="Times New Roman" w:eastAsia="宋体" w:cs="宋体"/>
              <w:sz w:val="21"/>
              <w:highlight w:val="none"/>
              <w:lang w:val="en-US" w:eastAsia="zh-CN"/>
            </w:rPr>
            <w:t>本文件没有需要界定的术语和定义。</w:t>
          </w:r>
        </w:p>
      </w:sdtContent>
    </w:sdt>
    <w:p w14:paraId="4CE33BD4">
      <w:pPr>
        <w:pStyle w:val="72"/>
        <w:bidi w:val="0"/>
        <w:rPr>
          <w:rFonts w:hint="default"/>
          <w:highlight w:val="none"/>
          <w:lang w:val="en-US" w:eastAsia="zh-CN"/>
        </w:rPr>
      </w:pPr>
      <w:r>
        <w:rPr>
          <w:rFonts w:hint="eastAsia"/>
          <w:highlight w:val="none"/>
          <w:lang w:val="en-US" w:eastAsia="zh-CN"/>
        </w:rPr>
        <w:t>总体要求</w:t>
      </w:r>
    </w:p>
    <w:p w14:paraId="5EDFECD0">
      <w:pPr>
        <w:pStyle w:val="78"/>
        <w:bidi w:val="0"/>
        <w:spacing w:before="0" w:beforeLines="0" w:after="0" w:afterLines="0"/>
        <w:rPr>
          <w:highlight w:val="none"/>
        </w:rPr>
      </w:pPr>
      <w:r>
        <w:rPr>
          <w:rFonts w:ascii="宋体" w:hAnsi="宋体" w:eastAsia="宋体" w:cs="宋体"/>
          <w:spacing w:val="6"/>
          <w:szCs w:val="20"/>
          <w:highlight w:val="none"/>
        </w:rPr>
        <w:t>标</w:t>
      </w:r>
      <w:r>
        <w:rPr>
          <w:highlight w:val="none"/>
        </w:rPr>
        <w:t>准体系内的标准应符合国家有关法律法规要求。</w:t>
      </w:r>
    </w:p>
    <w:p w14:paraId="3DB17BA2">
      <w:pPr>
        <w:pStyle w:val="78"/>
        <w:bidi w:val="0"/>
        <w:spacing w:before="0" w:beforeLines="0" w:after="0" w:afterLines="0"/>
        <w:rPr>
          <w:highlight w:val="none"/>
        </w:rPr>
      </w:pPr>
      <w:r>
        <w:rPr>
          <w:highlight w:val="none"/>
        </w:rPr>
        <w:t>标准体系内的标准应优先采用国家标准、行业标准和地方标准。</w:t>
      </w:r>
    </w:p>
    <w:p w14:paraId="28521014">
      <w:pPr>
        <w:pStyle w:val="78"/>
        <w:bidi w:val="0"/>
        <w:spacing w:before="0" w:beforeLines="0" w:after="0" w:afterLines="0"/>
        <w:rPr>
          <w:highlight w:val="none"/>
        </w:rPr>
      </w:pPr>
      <w:r>
        <w:rPr>
          <w:highlight w:val="none"/>
        </w:rPr>
        <w:t>标准体系结合</w:t>
      </w:r>
      <w:r>
        <w:rPr>
          <w:rFonts w:hint="eastAsia"/>
          <w:highlight w:val="none"/>
          <w:lang w:val="en-US" w:eastAsia="zh-CN"/>
        </w:rPr>
        <w:t>烟叶复烤生产企业</w:t>
      </w:r>
      <w:r>
        <w:rPr>
          <w:highlight w:val="none"/>
        </w:rPr>
        <w:t>的需要制定标准，不断完善。</w:t>
      </w:r>
    </w:p>
    <w:p w14:paraId="3E89441C">
      <w:pPr>
        <w:pStyle w:val="78"/>
        <w:bidi w:val="0"/>
        <w:spacing w:before="0" w:beforeLines="0" w:after="0" w:afterLines="0"/>
        <w:rPr>
          <w:highlight w:val="none"/>
        </w:rPr>
      </w:pPr>
      <w:r>
        <w:rPr>
          <w:highlight w:val="none"/>
        </w:rPr>
        <w:t>标准体系内的标准应相互协调。</w:t>
      </w:r>
    </w:p>
    <w:p w14:paraId="78B4D6F9">
      <w:pPr>
        <w:pStyle w:val="78"/>
        <w:bidi w:val="0"/>
        <w:spacing w:before="0" w:beforeLines="0" w:after="0" w:afterLines="0"/>
        <w:rPr>
          <w:highlight w:val="none"/>
        </w:rPr>
      </w:pPr>
      <w:r>
        <w:rPr>
          <w:highlight w:val="none"/>
        </w:rPr>
        <w:t>标准体系可依据</w:t>
      </w:r>
      <w:r>
        <w:rPr>
          <w:rFonts w:hint="eastAsia"/>
          <w:highlight w:val="none"/>
          <w:lang w:val="en-US" w:eastAsia="zh-CN"/>
        </w:rPr>
        <w:t>本部分</w:t>
      </w:r>
      <w:r>
        <w:rPr>
          <w:rFonts w:hint="eastAsia"/>
          <w:highlight w:val="none"/>
          <w:lang w:eastAsia="zh-CN"/>
        </w:rPr>
        <w:t>的</w:t>
      </w:r>
      <w:r>
        <w:rPr>
          <w:rFonts w:hint="eastAsia"/>
          <w:highlight w:val="none"/>
          <w:lang w:val="en-US" w:eastAsia="zh-CN"/>
        </w:rPr>
        <w:t>内容</w:t>
      </w:r>
      <w:r>
        <w:rPr>
          <w:highlight w:val="none"/>
        </w:rPr>
        <w:t>，结合</w:t>
      </w:r>
      <w:r>
        <w:rPr>
          <w:rFonts w:hint="eastAsia"/>
          <w:highlight w:val="none"/>
          <w:lang w:val="en-US" w:eastAsia="zh-CN"/>
        </w:rPr>
        <w:t>烟叶复烤生产企业</w:t>
      </w:r>
      <w:r>
        <w:rPr>
          <w:highlight w:val="none"/>
        </w:rPr>
        <w:t>实际情况进行删减和扩充。</w:t>
      </w:r>
    </w:p>
    <w:p w14:paraId="66710F28">
      <w:pPr>
        <w:pStyle w:val="72"/>
        <w:bidi w:val="0"/>
        <w:rPr>
          <w:rFonts w:hint="default"/>
          <w:highlight w:val="none"/>
          <w:lang w:val="en-US" w:eastAsia="zh-CN"/>
        </w:rPr>
      </w:pPr>
      <w:r>
        <w:rPr>
          <w:rFonts w:hint="eastAsia"/>
          <w:highlight w:val="none"/>
          <w:lang w:val="en-US" w:eastAsia="zh-CN"/>
        </w:rPr>
        <w:t>体系构建方法</w:t>
      </w:r>
    </w:p>
    <w:p w14:paraId="0F4AB555">
      <w:pPr>
        <w:pStyle w:val="73"/>
        <w:bidi w:val="0"/>
        <w:rPr>
          <w:color w:val="auto"/>
          <w:highlight w:val="none"/>
        </w:rPr>
      </w:pPr>
      <w:r>
        <w:rPr>
          <w:color w:val="auto"/>
          <w:highlight w:val="none"/>
        </w:rPr>
        <w:t>需求分析</w:t>
      </w:r>
    </w:p>
    <w:p w14:paraId="50CAC992">
      <w:pPr>
        <w:pStyle w:val="79"/>
        <w:bidi w:val="0"/>
        <w:spacing w:before="0" w:beforeLines="0" w:after="0" w:afterLines="0"/>
        <w:rPr>
          <w:color w:val="auto"/>
          <w:highlight w:val="none"/>
        </w:rPr>
      </w:pPr>
      <w:r>
        <w:rPr>
          <w:color w:val="auto"/>
          <w:highlight w:val="none"/>
        </w:rPr>
        <w:t>需求分析是</w:t>
      </w:r>
      <w:r>
        <w:rPr>
          <w:rFonts w:hint="eastAsia"/>
          <w:color w:val="auto"/>
          <w:highlight w:val="none"/>
          <w:lang w:eastAsia="zh-CN"/>
        </w:rPr>
        <w:t>烟叶复烤生产企业（</w:t>
      </w:r>
      <w:r>
        <w:rPr>
          <w:rFonts w:hint="eastAsia"/>
          <w:color w:val="auto"/>
          <w:highlight w:val="none"/>
          <w:lang w:val="en-US" w:eastAsia="zh-CN"/>
        </w:rPr>
        <w:t>以下简称“企业”</w:t>
      </w:r>
      <w:r>
        <w:rPr>
          <w:rFonts w:hint="eastAsia"/>
          <w:color w:val="auto"/>
          <w:highlight w:val="none"/>
          <w:lang w:eastAsia="zh-CN"/>
        </w:rPr>
        <w:t>）</w:t>
      </w:r>
      <w:r>
        <w:rPr>
          <w:color w:val="auto"/>
          <w:highlight w:val="none"/>
        </w:rPr>
        <w:t>通过分析内外部环境变化及相关方的需求和期望，结合本</w:t>
      </w:r>
      <w:r>
        <w:rPr>
          <w:rFonts w:hint="eastAsia"/>
          <w:color w:val="auto"/>
          <w:highlight w:val="none"/>
          <w:lang w:val="en-US" w:eastAsia="zh-CN"/>
        </w:rPr>
        <w:t>企业</w:t>
      </w:r>
      <w:r>
        <w:rPr>
          <w:color w:val="auto"/>
          <w:highlight w:val="none"/>
        </w:rPr>
        <w:t>标准化现状，</w:t>
      </w:r>
      <w:r>
        <w:rPr>
          <w:rFonts w:hint="eastAsia"/>
          <w:color w:val="auto"/>
          <w:highlight w:val="none"/>
          <w:lang w:val="en-US" w:eastAsia="zh-CN"/>
        </w:rPr>
        <w:t>理清</w:t>
      </w:r>
      <w:r>
        <w:rPr>
          <w:color w:val="auto"/>
          <w:highlight w:val="none"/>
        </w:rPr>
        <w:t>本</w:t>
      </w:r>
      <w:r>
        <w:rPr>
          <w:rFonts w:hint="eastAsia"/>
          <w:color w:val="auto"/>
          <w:highlight w:val="none"/>
          <w:lang w:val="en-US" w:eastAsia="zh-CN"/>
        </w:rPr>
        <w:t>企业可持续发展规范</w:t>
      </w:r>
      <w:r>
        <w:rPr>
          <w:color w:val="auto"/>
          <w:highlight w:val="none"/>
        </w:rPr>
        <w:t>需求，确定标准化方针与目标、标准化规划、标准体系表、标准化文件等内容的活动。</w:t>
      </w:r>
    </w:p>
    <w:p w14:paraId="5C3A07B5">
      <w:pPr>
        <w:pStyle w:val="79"/>
        <w:bidi w:val="0"/>
        <w:spacing w:before="0" w:beforeLines="0" w:after="0" w:afterLines="0"/>
        <w:rPr>
          <w:color w:val="auto"/>
          <w:highlight w:val="none"/>
        </w:rPr>
      </w:pPr>
      <w:r>
        <w:rPr>
          <w:rFonts w:hint="eastAsia"/>
          <w:color w:val="auto"/>
          <w:highlight w:val="none"/>
          <w:lang w:eastAsia="zh-CN"/>
        </w:rPr>
        <w:t>企业</w:t>
      </w:r>
      <w:r>
        <w:rPr>
          <w:color w:val="auto"/>
          <w:highlight w:val="none"/>
        </w:rPr>
        <w:t>宜持续关注本</w:t>
      </w:r>
      <w:r>
        <w:rPr>
          <w:rFonts w:hint="eastAsia"/>
          <w:color w:val="auto"/>
          <w:highlight w:val="none"/>
          <w:lang w:eastAsia="zh-CN"/>
        </w:rPr>
        <w:t>企业</w:t>
      </w:r>
      <w:r>
        <w:rPr>
          <w:color w:val="auto"/>
          <w:highlight w:val="none"/>
        </w:rPr>
        <w:t>及所属行业和标准化相关发展动态，吸收有益经验做法，融入</w:t>
      </w:r>
      <w:r>
        <w:rPr>
          <w:rFonts w:hint="eastAsia"/>
          <w:color w:val="auto"/>
          <w:highlight w:val="none"/>
          <w:lang w:val="en-US" w:eastAsia="zh-CN"/>
        </w:rPr>
        <w:t>烟叶复烤生产可持续发展规范（以下简称“规范”）</w:t>
      </w:r>
      <w:r>
        <w:rPr>
          <w:color w:val="auto"/>
          <w:highlight w:val="none"/>
        </w:rPr>
        <w:t>体系。</w:t>
      </w:r>
    </w:p>
    <w:p w14:paraId="3432FEFE">
      <w:pPr>
        <w:pStyle w:val="79"/>
        <w:bidi w:val="0"/>
        <w:spacing w:before="0" w:beforeLines="0" w:after="0" w:afterLines="0"/>
        <w:rPr>
          <w:color w:val="auto"/>
          <w:highlight w:val="none"/>
        </w:rPr>
      </w:pPr>
      <w:r>
        <w:rPr>
          <w:color w:val="auto"/>
          <w:highlight w:val="none"/>
        </w:rPr>
        <w:t>相关方需求分析是</w:t>
      </w:r>
      <w:r>
        <w:rPr>
          <w:rFonts w:hint="eastAsia"/>
          <w:color w:val="auto"/>
          <w:highlight w:val="none"/>
          <w:lang w:eastAsia="zh-CN"/>
        </w:rPr>
        <w:t>企业</w:t>
      </w:r>
      <w:r>
        <w:rPr>
          <w:color w:val="auto"/>
          <w:highlight w:val="none"/>
        </w:rPr>
        <w:t>需求分析的重要组成部分，</w:t>
      </w:r>
      <w:r>
        <w:rPr>
          <w:rFonts w:hint="eastAsia"/>
          <w:color w:val="auto"/>
          <w:highlight w:val="none"/>
          <w:lang w:eastAsia="zh-CN"/>
        </w:rPr>
        <w:t>企业</w:t>
      </w:r>
      <w:r>
        <w:rPr>
          <w:color w:val="auto"/>
          <w:highlight w:val="none"/>
        </w:rPr>
        <w:t>宜收集、识别、分析及其他相关方的需求和期望，并建立有效响应相关方需求和期望的</w:t>
      </w:r>
      <w:r>
        <w:rPr>
          <w:rFonts w:hint="eastAsia"/>
          <w:color w:val="auto"/>
          <w:highlight w:val="none"/>
          <w:lang w:val="en-US" w:eastAsia="zh-CN"/>
        </w:rPr>
        <w:t>规范</w:t>
      </w:r>
      <w:r>
        <w:rPr>
          <w:color w:val="auto"/>
          <w:highlight w:val="none"/>
        </w:rPr>
        <w:t>。</w:t>
      </w:r>
    </w:p>
    <w:p w14:paraId="72AD5BF2">
      <w:pPr>
        <w:pStyle w:val="79"/>
        <w:bidi w:val="0"/>
        <w:spacing w:before="0" w:beforeLines="0" w:after="0" w:afterLines="0"/>
        <w:rPr>
          <w:color w:val="auto"/>
          <w:highlight w:val="none"/>
        </w:rPr>
      </w:pPr>
      <w:r>
        <w:rPr>
          <w:rFonts w:hint="eastAsia"/>
          <w:color w:val="auto"/>
          <w:highlight w:val="none"/>
          <w:lang w:eastAsia="zh-CN"/>
        </w:rPr>
        <w:t>企业</w:t>
      </w:r>
      <w:r>
        <w:rPr>
          <w:color w:val="auto"/>
          <w:highlight w:val="none"/>
        </w:rPr>
        <w:t>宜识别、分析满足</w:t>
      </w:r>
      <w:r>
        <w:rPr>
          <w:rFonts w:hint="eastAsia"/>
          <w:color w:val="auto"/>
          <w:highlight w:val="none"/>
          <w:lang w:val="en-US" w:eastAsia="zh-CN"/>
        </w:rPr>
        <w:t>法律法规及标准</w:t>
      </w:r>
      <w:r>
        <w:rPr>
          <w:color w:val="auto"/>
          <w:highlight w:val="none"/>
        </w:rPr>
        <w:t>要求的需求，并将全部或部分合规要求作为标准体系或相关标准的制定依据，需考虑的因素包括但不限于：</w:t>
      </w:r>
    </w:p>
    <w:p w14:paraId="373CFCE5">
      <w:pPr>
        <w:pStyle w:val="60"/>
        <w:bidi w:val="0"/>
        <w:ind w:left="851" w:leftChars="0" w:hanging="426" w:firstLineChars="0"/>
        <w:rPr>
          <w:color w:val="auto"/>
          <w:highlight w:val="none"/>
        </w:rPr>
      </w:pPr>
      <w:r>
        <w:rPr>
          <w:color w:val="auto"/>
          <w:highlight w:val="none"/>
        </w:rPr>
        <w:t>法律法规和强制性标准；</w:t>
      </w:r>
    </w:p>
    <w:p w14:paraId="0CAC3477">
      <w:pPr>
        <w:pStyle w:val="60"/>
        <w:bidi w:val="0"/>
        <w:ind w:left="851" w:leftChars="0" w:hanging="426" w:firstLineChars="0"/>
        <w:rPr>
          <w:color w:val="auto"/>
          <w:highlight w:val="none"/>
        </w:rPr>
      </w:pPr>
      <w:r>
        <w:rPr>
          <w:color w:val="auto"/>
          <w:highlight w:val="none"/>
        </w:rPr>
        <w:t>许可、执照和其他形式的授权；</w:t>
      </w:r>
    </w:p>
    <w:p w14:paraId="002005E5">
      <w:pPr>
        <w:pStyle w:val="60"/>
        <w:bidi w:val="0"/>
        <w:ind w:left="851" w:leftChars="0" w:hanging="426" w:firstLineChars="0"/>
        <w:rPr>
          <w:color w:val="auto"/>
          <w:highlight w:val="none"/>
        </w:rPr>
      </w:pPr>
      <w:r>
        <w:rPr>
          <w:color w:val="auto"/>
          <w:highlight w:val="none"/>
        </w:rPr>
        <w:t>监管机构发布的命令、条例或指南；</w:t>
      </w:r>
    </w:p>
    <w:p w14:paraId="54E202DB">
      <w:pPr>
        <w:pStyle w:val="60"/>
        <w:bidi w:val="0"/>
        <w:ind w:left="851" w:leftChars="0" w:hanging="426" w:firstLineChars="0"/>
        <w:rPr>
          <w:color w:val="auto"/>
          <w:highlight w:val="none"/>
        </w:rPr>
      </w:pPr>
      <w:r>
        <w:rPr>
          <w:color w:val="auto"/>
          <w:highlight w:val="none"/>
        </w:rPr>
        <w:t>院判决或行政决定；</w:t>
      </w:r>
    </w:p>
    <w:p w14:paraId="53851651">
      <w:pPr>
        <w:pStyle w:val="60"/>
        <w:bidi w:val="0"/>
        <w:ind w:left="851" w:leftChars="0" w:hanging="426" w:firstLineChars="0"/>
        <w:rPr>
          <w:color w:val="auto"/>
          <w:highlight w:val="none"/>
        </w:rPr>
      </w:pPr>
      <w:r>
        <w:rPr>
          <w:color w:val="auto"/>
          <w:highlight w:val="none"/>
        </w:rPr>
        <w:t>条约、惯例和协议；</w:t>
      </w:r>
    </w:p>
    <w:p w14:paraId="4996495B">
      <w:pPr>
        <w:pStyle w:val="60"/>
        <w:bidi w:val="0"/>
        <w:ind w:left="851" w:leftChars="0" w:hanging="426" w:firstLineChars="0"/>
        <w:rPr>
          <w:color w:val="auto"/>
          <w:highlight w:val="none"/>
        </w:rPr>
      </w:pPr>
      <w:r>
        <w:rPr>
          <w:color w:val="auto"/>
          <w:highlight w:val="none"/>
        </w:rPr>
        <w:t>适用标准。</w:t>
      </w:r>
    </w:p>
    <w:p w14:paraId="1A57DD0D">
      <w:pPr>
        <w:pStyle w:val="73"/>
        <w:bidi w:val="0"/>
        <w:rPr>
          <w:color w:val="auto"/>
          <w:highlight w:val="none"/>
        </w:rPr>
      </w:pPr>
      <w:r>
        <w:rPr>
          <w:color w:val="auto"/>
          <w:highlight w:val="none"/>
        </w:rPr>
        <w:t>确定标准化方针与目标</w:t>
      </w:r>
    </w:p>
    <w:p w14:paraId="758126C3">
      <w:pPr>
        <w:pStyle w:val="79"/>
        <w:bidi w:val="0"/>
        <w:spacing w:before="0" w:beforeLines="0" w:after="0" w:afterLines="0"/>
        <w:rPr>
          <w:rFonts w:ascii="宋体" w:hAnsi="宋体" w:eastAsia="宋体" w:cs="宋体"/>
          <w:color w:val="auto"/>
          <w:sz w:val="21"/>
          <w:szCs w:val="21"/>
          <w:highlight w:val="none"/>
        </w:rPr>
      </w:pPr>
      <w:r>
        <w:rPr>
          <w:rFonts w:hint="eastAsia" w:cs="宋体"/>
          <w:color w:val="auto"/>
          <w:spacing w:val="-6"/>
          <w:sz w:val="21"/>
          <w:szCs w:val="21"/>
          <w:highlight w:val="none"/>
          <w:lang w:eastAsia="zh-CN"/>
        </w:rPr>
        <w:t>企业</w:t>
      </w:r>
      <w:r>
        <w:rPr>
          <w:rFonts w:ascii="宋体" w:hAnsi="宋体" w:eastAsia="宋体" w:cs="宋体"/>
          <w:color w:val="auto"/>
          <w:spacing w:val="-6"/>
          <w:sz w:val="21"/>
          <w:szCs w:val="21"/>
          <w:highlight w:val="none"/>
        </w:rPr>
        <w:t>宜按照需求分析情况，</w:t>
      </w:r>
      <w:r>
        <w:rPr>
          <w:rFonts w:hint="eastAsia" w:ascii="宋体" w:hAnsi="宋体" w:eastAsia="宋体" w:cs="宋体"/>
          <w:color w:val="auto"/>
          <w:spacing w:val="-6"/>
          <w:sz w:val="21"/>
          <w:szCs w:val="21"/>
          <w:highlight w:val="none"/>
          <w:lang w:val="en-US" w:eastAsia="zh-CN"/>
        </w:rPr>
        <w:t>不断</w:t>
      </w:r>
      <w:r>
        <w:rPr>
          <w:rFonts w:hint="eastAsia"/>
          <w:color w:val="auto"/>
          <w:highlight w:val="none"/>
        </w:rPr>
        <w:t>提高生产过程中参与人及社区社会经济水平，</w:t>
      </w:r>
      <w:r>
        <w:rPr>
          <w:rFonts w:hint="eastAsia"/>
          <w:highlight w:val="none"/>
        </w:rPr>
        <w:t>降低对自然环境和周边社区的</w:t>
      </w:r>
      <w:r>
        <w:rPr>
          <w:rFonts w:hint="eastAsia"/>
          <w:highlight w:val="none"/>
          <w:lang w:val="en-US" w:eastAsia="zh-CN"/>
        </w:rPr>
        <w:t>负面</w:t>
      </w:r>
      <w:r>
        <w:rPr>
          <w:rFonts w:hint="eastAsia"/>
          <w:highlight w:val="none"/>
        </w:rPr>
        <w:t>影响</w:t>
      </w:r>
      <w:r>
        <w:rPr>
          <w:rFonts w:hint="eastAsia"/>
          <w:color w:val="auto"/>
          <w:highlight w:val="none"/>
        </w:rPr>
        <w:t>，促进人员的健康安全，履行烟草行业的社会责任</w:t>
      </w:r>
      <w:r>
        <w:rPr>
          <w:rFonts w:hint="eastAsia"/>
          <w:color w:val="auto"/>
          <w:highlight w:val="none"/>
          <w:lang w:eastAsia="zh-CN"/>
        </w:rPr>
        <w:t>，</w:t>
      </w:r>
      <w:r>
        <w:rPr>
          <w:rFonts w:ascii="宋体" w:hAnsi="宋体" w:eastAsia="宋体" w:cs="宋体"/>
          <w:color w:val="auto"/>
          <w:spacing w:val="-6"/>
          <w:sz w:val="21"/>
          <w:szCs w:val="21"/>
          <w:highlight w:val="none"/>
        </w:rPr>
        <w:t>制定满足本</w:t>
      </w:r>
      <w:r>
        <w:rPr>
          <w:rFonts w:hint="eastAsia" w:hAnsi="宋体" w:cs="宋体"/>
          <w:color w:val="auto"/>
          <w:spacing w:val="-6"/>
          <w:sz w:val="21"/>
          <w:szCs w:val="21"/>
          <w:highlight w:val="none"/>
          <w:lang w:eastAsia="zh-CN"/>
        </w:rPr>
        <w:t>企业</w:t>
      </w:r>
      <w:r>
        <w:rPr>
          <w:rFonts w:hint="eastAsia" w:ascii="宋体" w:hAnsi="宋体" w:eastAsia="宋体" w:cs="宋体"/>
          <w:color w:val="auto"/>
          <w:spacing w:val="-6"/>
          <w:sz w:val="21"/>
          <w:szCs w:val="21"/>
          <w:highlight w:val="none"/>
          <w:lang w:val="en-US" w:eastAsia="zh-CN"/>
        </w:rPr>
        <w:t>可持续发展</w:t>
      </w:r>
      <w:r>
        <w:rPr>
          <w:rFonts w:ascii="宋体" w:hAnsi="宋体" w:eastAsia="宋体" w:cs="宋体"/>
          <w:color w:val="auto"/>
          <w:spacing w:val="1"/>
          <w:sz w:val="21"/>
          <w:szCs w:val="21"/>
          <w:highlight w:val="none"/>
        </w:rPr>
        <w:t>的标准化方针与目标。标准化方针与目标</w:t>
      </w:r>
      <w:r>
        <w:rPr>
          <w:rFonts w:hint="eastAsia" w:ascii="宋体" w:hAnsi="宋体" w:eastAsia="宋体" w:cs="宋体"/>
          <w:color w:val="auto"/>
          <w:spacing w:val="1"/>
          <w:sz w:val="21"/>
          <w:szCs w:val="21"/>
          <w:highlight w:val="none"/>
          <w:lang w:val="en-US" w:eastAsia="zh-CN"/>
        </w:rPr>
        <w:t>应</w:t>
      </w:r>
      <w:r>
        <w:rPr>
          <w:rFonts w:ascii="宋体" w:hAnsi="宋体" w:eastAsia="宋体" w:cs="宋体"/>
          <w:color w:val="auto"/>
          <w:spacing w:val="1"/>
          <w:sz w:val="21"/>
          <w:szCs w:val="21"/>
          <w:highlight w:val="none"/>
        </w:rPr>
        <w:t>协调统一</w:t>
      </w:r>
      <w:r>
        <w:rPr>
          <w:rFonts w:hint="eastAsia" w:ascii="宋体" w:hAnsi="宋体" w:eastAsia="宋体" w:cs="宋体"/>
          <w:color w:val="auto"/>
          <w:spacing w:val="1"/>
          <w:sz w:val="21"/>
          <w:szCs w:val="21"/>
          <w:highlight w:val="none"/>
          <w:lang w:eastAsia="zh-CN"/>
        </w:rPr>
        <w:t>，</w:t>
      </w:r>
      <w:r>
        <w:rPr>
          <w:rFonts w:ascii="宋体" w:hAnsi="宋体" w:eastAsia="宋体" w:cs="宋体"/>
          <w:color w:val="auto"/>
          <w:spacing w:val="1"/>
          <w:sz w:val="21"/>
          <w:szCs w:val="21"/>
          <w:highlight w:val="none"/>
        </w:rPr>
        <w:t>确定标准化方针与目标的方法见图1。</w:t>
      </w:r>
    </w:p>
    <w:p w14:paraId="0CA7F969">
      <w:pPr>
        <w:pStyle w:val="73"/>
        <w:numPr>
          <w:ilvl w:val="1"/>
          <w:numId w:val="0"/>
        </w:numPr>
        <w:bidi w:val="0"/>
        <w:ind w:leftChars="0"/>
        <w:jc w:val="center"/>
        <w:rPr>
          <w:rFonts w:hint="default"/>
          <w:color w:val="auto"/>
          <w:highlight w:val="none"/>
          <w:lang w:val="en-US" w:eastAsia="zh-CN"/>
        </w:rPr>
      </w:pPr>
      <w:bookmarkStart w:id="19" w:name="_bookmark10"/>
      <w:bookmarkEnd w:id="19"/>
      <w:r>
        <w:object>
          <v:shape id="_x0000_i1025" o:spt="75" type="#_x0000_t75" style="height:235.5pt;width:329.25pt;" o:ole="t" filled="f" o:preferrelative="t" stroked="f" coordsize="21600,21600">
            <v:path/>
            <v:fill on="f" focussize="0,0"/>
            <v:stroke on="f"/>
            <v:imagedata r:id="rId11" o:title=""/>
            <o:lock v:ext="edit" aspectratio="f"/>
            <w10:wrap type="none"/>
            <w10:anchorlock/>
          </v:shape>
          <o:OLEObject Type="Embed" ProgID="Visio.Drawing.11" ShapeID="_x0000_i1025" DrawAspect="Content" ObjectID="_1468075725" r:id="rId10">
            <o:LockedField>false</o:LockedField>
          </o:OLEObject>
        </w:object>
      </w:r>
    </w:p>
    <w:p w14:paraId="35DAB660">
      <w:pPr>
        <w:pStyle w:val="114"/>
        <w:bidi w:val="0"/>
        <w:rPr>
          <w:rFonts w:hint="default"/>
          <w:color w:val="auto"/>
          <w:highlight w:val="none"/>
          <w:lang w:val="en-US" w:eastAsia="zh-CN"/>
        </w:rPr>
      </w:pPr>
      <w:r>
        <w:rPr>
          <w:color w:val="auto"/>
          <w:highlight w:val="none"/>
        </w:rPr>
        <w:t>标准化方针与目标方法</w:t>
      </w:r>
    </w:p>
    <w:p w14:paraId="7B83D045">
      <w:pPr>
        <w:pStyle w:val="79"/>
        <w:bidi w:val="0"/>
        <w:spacing w:before="0" w:beforeLines="0" w:after="0" w:afterLines="0"/>
        <w:rPr>
          <w:color w:val="auto"/>
          <w:highlight w:val="none"/>
        </w:rPr>
      </w:pPr>
      <w:r>
        <w:rPr>
          <w:color w:val="auto"/>
          <w:highlight w:val="none"/>
        </w:rPr>
        <w:t>标准化方针是</w:t>
      </w:r>
      <w:r>
        <w:rPr>
          <w:rFonts w:hint="eastAsia"/>
          <w:color w:val="auto"/>
          <w:highlight w:val="none"/>
          <w:lang w:eastAsia="zh-CN"/>
        </w:rPr>
        <w:t>企业</w:t>
      </w:r>
      <w:r>
        <w:rPr>
          <w:color w:val="auto"/>
          <w:highlight w:val="none"/>
        </w:rPr>
        <w:t>开展</w:t>
      </w:r>
      <w:r>
        <w:rPr>
          <w:rFonts w:hint="eastAsia"/>
          <w:color w:val="auto"/>
          <w:highlight w:val="none"/>
          <w:lang w:val="en-US" w:eastAsia="zh-CN"/>
        </w:rPr>
        <w:t>规范</w:t>
      </w:r>
      <w:r>
        <w:rPr>
          <w:color w:val="auto"/>
          <w:highlight w:val="none"/>
        </w:rPr>
        <w:t>标准化工作的指导思想、决策和行动准则。标准化方针</w:t>
      </w:r>
      <w:r>
        <w:rPr>
          <w:rFonts w:hint="eastAsia"/>
          <w:color w:val="auto"/>
          <w:highlight w:val="none"/>
          <w:lang w:val="en-US" w:eastAsia="zh-CN"/>
        </w:rPr>
        <w:t>应</w:t>
      </w:r>
      <w:r>
        <w:rPr>
          <w:color w:val="auto"/>
          <w:highlight w:val="none"/>
        </w:rPr>
        <w:t>具有前瞻性，能为确定标准化目标提供依据。</w:t>
      </w:r>
    </w:p>
    <w:p w14:paraId="33C722EE">
      <w:pPr>
        <w:pStyle w:val="79"/>
        <w:bidi w:val="0"/>
        <w:spacing w:before="0" w:beforeLines="0" w:after="0" w:afterLines="0"/>
        <w:rPr>
          <w:color w:val="auto"/>
          <w:highlight w:val="none"/>
        </w:rPr>
      </w:pPr>
      <w:r>
        <w:rPr>
          <w:color w:val="auto"/>
          <w:highlight w:val="none"/>
        </w:rPr>
        <w:t>标准化目标是</w:t>
      </w:r>
      <w:r>
        <w:rPr>
          <w:rFonts w:hint="eastAsia"/>
          <w:color w:val="auto"/>
          <w:highlight w:val="none"/>
          <w:lang w:eastAsia="zh-CN"/>
        </w:rPr>
        <w:t>企业</w:t>
      </w:r>
      <w:r>
        <w:rPr>
          <w:color w:val="auto"/>
          <w:highlight w:val="none"/>
        </w:rPr>
        <w:t>一定时期内争取达到的标准化状态或期望获得的标准化成果。标准化目标</w:t>
      </w:r>
      <w:r>
        <w:rPr>
          <w:rFonts w:hint="eastAsia"/>
          <w:color w:val="auto"/>
          <w:highlight w:val="none"/>
          <w:lang w:val="en-US" w:eastAsia="zh-CN"/>
        </w:rPr>
        <w:t>应具有</w:t>
      </w:r>
      <w:r>
        <w:rPr>
          <w:rFonts w:hint="eastAsia"/>
          <w:color w:val="auto"/>
          <w:highlight w:val="none"/>
        </w:rPr>
        <w:t>明确性、可衡量性、可实现性、关联性、时限性</w:t>
      </w:r>
      <w:r>
        <w:rPr>
          <w:color w:val="auto"/>
          <w:highlight w:val="none"/>
        </w:rPr>
        <w:t>，能对标准化方针的内容进行阶段性分解和落实。</w:t>
      </w:r>
    </w:p>
    <w:p w14:paraId="28A13DF1">
      <w:pPr>
        <w:pStyle w:val="79"/>
        <w:bidi w:val="0"/>
        <w:spacing w:before="0" w:beforeLines="0" w:after="0" w:afterLines="0"/>
        <w:rPr>
          <w:color w:val="auto"/>
          <w:highlight w:val="none"/>
        </w:rPr>
      </w:pPr>
      <w:r>
        <w:rPr>
          <w:color w:val="auto"/>
          <w:highlight w:val="none"/>
        </w:rPr>
        <w:t>标准化目标内容需考虑的因素包括但不限于标准覆盖率、标准实施率、采标率、各项记录合格率、标准化专业人员数量等。</w:t>
      </w:r>
    </w:p>
    <w:p w14:paraId="3C2D40DC">
      <w:pPr>
        <w:pStyle w:val="79"/>
        <w:bidi w:val="0"/>
        <w:spacing w:before="0" w:beforeLines="0" w:after="0" w:afterLines="0"/>
        <w:rPr>
          <w:color w:val="auto"/>
          <w:highlight w:val="none"/>
        </w:rPr>
      </w:pPr>
      <w:r>
        <w:rPr>
          <w:rFonts w:hint="eastAsia"/>
          <w:color w:val="auto"/>
          <w:highlight w:val="none"/>
          <w:lang w:eastAsia="zh-CN"/>
        </w:rPr>
        <w:t>企业</w:t>
      </w:r>
      <w:r>
        <w:rPr>
          <w:color w:val="auto"/>
          <w:highlight w:val="none"/>
        </w:rPr>
        <w:t>宜按照需求分析情况，制定满足本</w:t>
      </w:r>
      <w:r>
        <w:rPr>
          <w:rFonts w:hint="eastAsia"/>
          <w:color w:val="auto"/>
          <w:highlight w:val="none"/>
          <w:lang w:eastAsia="zh-CN"/>
        </w:rPr>
        <w:t>企业</w:t>
      </w:r>
      <w:r>
        <w:rPr>
          <w:rFonts w:hint="eastAsia"/>
          <w:color w:val="auto"/>
          <w:highlight w:val="none"/>
          <w:lang w:val="en-US" w:eastAsia="zh-CN"/>
        </w:rPr>
        <w:t>可持续发展</w:t>
      </w:r>
      <w:r>
        <w:rPr>
          <w:color w:val="auto"/>
          <w:highlight w:val="none"/>
        </w:rPr>
        <w:t>以及标准化方针与目标需要的标准化规划和计划。</w:t>
      </w:r>
    </w:p>
    <w:p w14:paraId="53AC464A">
      <w:pPr>
        <w:pStyle w:val="79"/>
        <w:bidi w:val="0"/>
        <w:spacing w:before="0" w:beforeLines="0" w:after="0" w:afterLines="0"/>
        <w:rPr>
          <w:color w:val="auto"/>
          <w:highlight w:val="none"/>
        </w:rPr>
      </w:pPr>
      <w:r>
        <w:rPr>
          <w:color w:val="auto"/>
          <w:highlight w:val="none"/>
        </w:rPr>
        <w:t>标准化规划是</w:t>
      </w:r>
      <w:r>
        <w:rPr>
          <w:rFonts w:hint="eastAsia"/>
          <w:color w:val="auto"/>
          <w:highlight w:val="none"/>
          <w:lang w:eastAsia="zh-CN"/>
        </w:rPr>
        <w:t>企业</w:t>
      </w:r>
      <w:r>
        <w:rPr>
          <w:color w:val="auto"/>
          <w:highlight w:val="none"/>
        </w:rPr>
        <w:t>科学决策的组成部分，对标准体系构建起指导性作用。标准化规划宜明确</w:t>
      </w:r>
      <w:r>
        <w:rPr>
          <w:rFonts w:hint="eastAsia"/>
          <w:color w:val="auto"/>
          <w:highlight w:val="none"/>
          <w:lang w:eastAsia="zh-CN"/>
        </w:rPr>
        <w:t>企业</w:t>
      </w:r>
      <w:r>
        <w:rPr>
          <w:color w:val="auto"/>
          <w:highlight w:val="none"/>
        </w:rPr>
        <w:t>标准化工作的指导思想、工作任务、工作步骤、保障措施等内容。</w:t>
      </w:r>
    </w:p>
    <w:p w14:paraId="40484A7C">
      <w:pPr>
        <w:pStyle w:val="79"/>
        <w:bidi w:val="0"/>
        <w:spacing w:before="0" w:beforeLines="0" w:after="0" w:afterLines="0"/>
        <w:rPr>
          <w:color w:val="auto"/>
          <w:highlight w:val="none"/>
        </w:rPr>
      </w:pPr>
      <w:r>
        <w:rPr>
          <w:color w:val="auto"/>
          <w:highlight w:val="none"/>
        </w:rPr>
        <w:t>标准化计划</w:t>
      </w:r>
      <w:r>
        <w:rPr>
          <w:rFonts w:hint="eastAsia"/>
          <w:color w:val="auto"/>
          <w:highlight w:val="none"/>
          <w:lang w:val="en-US" w:eastAsia="zh-CN"/>
        </w:rPr>
        <w:t>应</w:t>
      </w:r>
      <w:r>
        <w:rPr>
          <w:color w:val="auto"/>
          <w:highlight w:val="none"/>
        </w:rPr>
        <w:t>落实标准化规划的要求，将标准化目标和任务具体化，保证标准化工作正常有序 开展和顺利实施。</w:t>
      </w:r>
    </w:p>
    <w:p w14:paraId="01683832">
      <w:pPr>
        <w:pStyle w:val="73"/>
        <w:bidi w:val="0"/>
        <w:rPr>
          <w:rFonts w:ascii="黑体" w:hAnsi="黑体" w:eastAsia="黑体" w:cs="黑体"/>
          <w:color w:val="auto"/>
          <w:sz w:val="21"/>
          <w:szCs w:val="21"/>
          <w:highlight w:val="none"/>
        </w:rPr>
      </w:pPr>
      <w:r>
        <w:rPr>
          <w:rFonts w:ascii="黑体" w:hAnsi="黑体" w:eastAsia="黑体" w:cs="黑体"/>
          <w:color w:val="auto"/>
          <w:spacing w:val="-6"/>
          <w:sz w:val="21"/>
          <w:szCs w:val="21"/>
          <w:highlight w:val="none"/>
        </w:rPr>
        <w:t>编制标准体系表</w:t>
      </w:r>
    </w:p>
    <w:p w14:paraId="59BE0B52">
      <w:pPr>
        <w:pStyle w:val="79"/>
        <w:bidi w:val="0"/>
        <w:spacing w:before="0" w:beforeLines="0" w:after="0" w:afterLines="0"/>
        <w:rPr>
          <w:color w:val="auto"/>
          <w:highlight w:val="none"/>
        </w:rPr>
      </w:pPr>
      <w:r>
        <w:rPr>
          <w:rFonts w:hint="eastAsia"/>
          <w:color w:val="auto"/>
          <w:highlight w:val="none"/>
          <w:lang w:val="en-US" w:eastAsia="zh-CN"/>
        </w:rPr>
        <w:t>规范</w:t>
      </w:r>
      <w:r>
        <w:rPr>
          <w:color w:val="auto"/>
          <w:highlight w:val="none"/>
        </w:rPr>
        <w:t>标准体系表包括标准体系结构图、标准明细表、标准统计表和编制说明。</w:t>
      </w:r>
      <w:r>
        <w:rPr>
          <w:rFonts w:hint="eastAsia"/>
          <w:color w:val="auto"/>
          <w:highlight w:val="none"/>
          <w:lang w:val="en-US" w:eastAsia="zh-CN"/>
        </w:rPr>
        <w:t>规范</w:t>
      </w:r>
      <w:r>
        <w:rPr>
          <w:color w:val="auto"/>
          <w:highlight w:val="none"/>
        </w:rPr>
        <w:t>标准体系表的编制宜遵循 GB/T</w:t>
      </w:r>
      <w:r>
        <w:rPr>
          <w:rFonts w:hint="eastAsia"/>
          <w:color w:val="auto"/>
          <w:highlight w:val="none"/>
          <w:lang w:val="en-US" w:eastAsia="zh-CN"/>
        </w:rPr>
        <w:t xml:space="preserve"> </w:t>
      </w:r>
      <w:r>
        <w:rPr>
          <w:color w:val="auto"/>
          <w:highlight w:val="none"/>
        </w:rPr>
        <w:t>13016</w:t>
      </w:r>
      <w:r>
        <w:rPr>
          <w:rFonts w:hint="eastAsia"/>
          <w:color w:val="auto"/>
          <w:highlight w:val="none"/>
          <w:lang w:val="en-US" w:eastAsia="zh-CN"/>
        </w:rPr>
        <w:t>的要求</w:t>
      </w:r>
      <w:r>
        <w:rPr>
          <w:rFonts w:hint="eastAsia"/>
          <w:color w:val="auto"/>
          <w:highlight w:val="none"/>
          <w:lang w:eastAsia="zh-CN"/>
        </w:rPr>
        <w:t>，</w:t>
      </w:r>
      <w:r>
        <w:rPr>
          <w:color w:val="auto"/>
          <w:highlight w:val="none"/>
        </w:rPr>
        <w:t>各部分内容</w:t>
      </w:r>
      <w:r>
        <w:rPr>
          <w:rFonts w:hint="eastAsia"/>
          <w:color w:val="auto"/>
          <w:highlight w:val="none"/>
          <w:lang w:val="en-US" w:eastAsia="zh-CN"/>
        </w:rPr>
        <w:t>应</w:t>
      </w:r>
      <w:r>
        <w:rPr>
          <w:color w:val="auto"/>
          <w:highlight w:val="none"/>
        </w:rPr>
        <w:t>统一协调。</w:t>
      </w:r>
    </w:p>
    <w:p w14:paraId="212DC3BC">
      <w:pPr>
        <w:pStyle w:val="79"/>
        <w:bidi w:val="0"/>
        <w:spacing w:before="0" w:beforeLines="0" w:after="0" w:afterLines="0"/>
        <w:rPr>
          <w:color w:val="auto"/>
          <w:highlight w:val="none"/>
        </w:rPr>
      </w:pPr>
      <w:r>
        <w:rPr>
          <w:rFonts w:hint="eastAsia"/>
          <w:color w:val="auto"/>
          <w:highlight w:val="none"/>
          <w:lang w:val="en-US" w:eastAsia="zh-CN"/>
        </w:rPr>
        <w:t>规范</w:t>
      </w:r>
      <w:r>
        <w:rPr>
          <w:color w:val="auto"/>
          <w:highlight w:val="none"/>
        </w:rPr>
        <w:t>标准体系根据需求分析明确标准体系范围、界定边界。</w:t>
      </w:r>
    </w:p>
    <w:p w14:paraId="5CC1E7B6">
      <w:pPr>
        <w:pStyle w:val="79"/>
        <w:bidi w:val="0"/>
        <w:spacing w:before="0" w:beforeLines="0" w:after="0" w:afterLines="0"/>
        <w:rPr>
          <w:rFonts w:ascii="宋体" w:hAnsi="宋体" w:eastAsia="宋体" w:cs="宋体"/>
          <w:color w:val="auto"/>
          <w:sz w:val="21"/>
          <w:szCs w:val="21"/>
          <w:highlight w:val="none"/>
        </w:rPr>
      </w:pPr>
      <w:r>
        <w:rPr>
          <w:rFonts w:hint="eastAsia"/>
          <w:color w:val="auto"/>
          <w:highlight w:val="none"/>
          <w:lang w:val="en-US" w:eastAsia="zh-CN"/>
        </w:rPr>
        <w:t>规范</w:t>
      </w:r>
      <w:r>
        <w:rPr>
          <w:rFonts w:ascii="宋体" w:hAnsi="宋体" w:eastAsia="宋体" w:cs="宋体"/>
          <w:color w:val="auto"/>
          <w:spacing w:val="-4"/>
          <w:sz w:val="21"/>
          <w:szCs w:val="21"/>
          <w:highlight w:val="none"/>
        </w:rPr>
        <w:t>标准体系结构图由标准体系总体结构图和子体系结构图</w:t>
      </w:r>
      <w:r>
        <w:rPr>
          <w:rFonts w:ascii="宋体" w:hAnsi="宋体" w:eastAsia="宋体" w:cs="宋体"/>
          <w:color w:val="auto"/>
          <w:spacing w:val="-5"/>
          <w:sz w:val="21"/>
          <w:szCs w:val="21"/>
          <w:highlight w:val="none"/>
        </w:rPr>
        <w:t>组成，需考虑的因素如下：</w:t>
      </w:r>
    </w:p>
    <w:p w14:paraId="39EB8FD5">
      <w:pPr>
        <w:pStyle w:val="60"/>
        <w:numPr>
          <w:ilvl w:val="0"/>
          <w:numId w:val="18"/>
        </w:numPr>
        <w:bidi w:val="0"/>
        <w:ind w:left="851" w:leftChars="0" w:hanging="426" w:firstLineChars="0"/>
        <w:rPr>
          <w:color w:val="auto"/>
          <w:highlight w:val="none"/>
        </w:rPr>
      </w:pPr>
      <w:r>
        <w:rPr>
          <w:color w:val="auto"/>
          <w:highlight w:val="none"/>
        </w:rPr>
        <w:t>依据标准化对象的属性并参照本文件进行设计；</w:t>
      </w:r>
    </w:p>
    <w:p w14:paraId="6AF41E97">
      <w:pPr>
        <w:pStyle w:val="60"/>
        <w:numPr>
          <w:ilvl w:val="0"/>
          <w:numId w:val="18"/>
        </w:numPr>
        <w:bidi w:val="0"/>
        <w:ind w:left="851" w:leftChars="0" w:hanging="426" w:firstLineChars="0"/>
        <w:rPr>
          <w:color w:val="auto"/>
          <w:highlight w:val="none"/>
        </w:rPr>
      </w:pPr>
      <w:r>
        <w:rPr>
          <w:color w:val="auto"/>
          <w:highlight w:val="none"/>
        </w:rPr>
        <w:t>层次关系和(或)序列关系明确、逻辑清晰，关联线连接正确、能反映结构图间的关系。</w:t>
      </w:r>
    </w:p>
    <w:p w14:paraId="6A3A2ED9">
      <w:pPr>
        <w:pStyle w:val="79"/>
        <w:bidi w:val="0"/>
        <w:spacing w:before="0" w:beforeLines="0" w:after="0" w:afterLines="0"/>
        <w:rPr>
          <w:color w:val="auto"/>
          <w:highlight w:val="none"/>
        </w:rPr>
      </w:pPr>
      <w:r>
        <w:rPr>
          <w:rFonts w:hint="eastAsia"/>
          <w:color w:val="auto"/>
          <w:highlight w:val="none"/>
          <w:lang w:eastAsia="zh-CN"/>
        </w:rPr>
        <w:t>企业</w:t>
      </w:r>
      <w:r>
        <w:rPr>
          <w:color w:val="auto"/>
          <w:highlight w:val="none"/>
        </w:rPr>
        <w:t>宜根据标准体系结构，对</w:t>
      </w:r>
      <w:r>
        <w:rPr>
          <w:rFonts w:hint="eastAsia"/>
          <w:color w:val="auto"/>
          <w:highlight w:val="none"/>
          <w:lang w:val="en-US" w:eastAsia="zh-CN"/>
        </w:rPr>
        <w:t>管理</w:t>
      </w:r>
      <w:r>
        <w:rPr>
          <w:color w:val="auto"/>
          <w:highlight w:val="none"/>
        </w:rPr>
        <w:t>标准体系、</w:t>
      </w:r>
      <w:r>
        <w:rPr>
          <w:rFonts w:hint="eastAsia"/>
          <w:color w:val="auto"/>
          <w:highlight w:val="none"/>
          <w:lang w:val="en-US" w:eastAsia="zh-CN"/>
        </w:rPr>
        <w:t>环境</w:t>
      </w:r>
      <w:r>
        <w:rPr>
          <w:color w:val="auto"/>
          <w:highlight w:val="none"/>
        </w:rPr>
        <w:t>标准体系、</w:t>
      </w:r>
      <w:r>
        <w:rPr>
          <w:rFonts w:hint="eastAsia"/>
          <w:color w:val="auto"/>
          <w:highlight w:val="none"/>
          <w:lang w:val="en-US" w:eastAsia="zh-CN"/>
        </w:rPr>
        <w:t>员工保障</w:t>
      </w:r>
      <w:r>
        <w:rPr>
          <w:color w:val="auto"/>
          <w:highlight w:val="none"/>
        </w:rPr>
        <w:t>标准体系</w:t>
      </w:r>
      <w:r>
        <w:rPr>
          <w:rFonts w:hint="eastAsia"/>
          <w:color w:val="auto"/>
          <w:highlight w:val="none"/>
          <w:lang w:eastAsia="zh-CN"/>
        </w:rPr>
        <w:t>、</w:t>
      </w:r>
      <w:r>
        <w:rPr>
          <w:rFonts w:hint="eastAsia"/>
          <w:color w:val="auto"/>
          <w:highlight w:val="none"/>
          <w:lang w:val="en-US" w:eastAsia="zh-CN"/>
        </w:rPr>
        <w:t>设施设备</w:t>
      </w:r>
      <w:r>
        <w:rPr>
          <w:color w:val="auto"/>
          <w:highlight w:val="none"/>
        </w:rPr>
        <w:t>标准体系</w:t>
      </w:r>
      <w:r>
        <w:rPr>
          <w:rFonts w:hint="eastAsia"/>
          <w:color w:val="auto"/>
          <w:highlight w:val="none"/>
          <w:lang w:val="en-US" w:eastAsia="zh-CN"/>
        </w:rPr>
        <w:t>和安全管理标准体系</w:t>
      </w:r>
      <w:r>
        <w:rPr>
          <w:color w:val="auto"/>
          <w:highlight w:val="none"/>
        </w:rPr>
        <w:t>编制对应的标准明细表，需考虑的因素如下：</w:t>
      </w:r>
    </w:p>
    <w:p w14:paraId="6FF02E9A">
      <w:pPr>
        <w:pStyle w:val="60"/>
        <w:numPr>
          <w:ilvl w:val="0"/>
          <w:numId w:val="19"/>
        </w:numPr>
        <w:bidi w:val="0"/>
        <w:ind w:left="851" w:leftChars="0" w:hanging="426" w:firstLineChars="0"/>
        <w:rPr>
          <w:color w:val="auto"/>
          <w:highlight w:val="none"/>
        </w:rPr>
      </w:pPr>
      <w:r>
        <w:rPr>
          <w:color w:val="auto"/>
          <w:highlight w:val="none"/>
        </w:rPr>
        <w:t>给出的信息满足</w:t>
      </w:r>
      <w:r>
        <w:rPr>
          <w:rFonts w:hint="eastAsia"/>
          <w:color w:val="auto"/>
          <w:highlight w:val="none"/>
          <w:lang w:eastAsia="zh-CN"/>
        </w:rPr>
        <w:t>企业</w:t>
      </w:r>
      <w:r>
        <w:rPr>
          <w:color w:val="auto"/>
          <w:highlight w:val="none"/>
        </w:rPr>
        <w:t>标准检索、使用和管理等标准化工作需要，列项合理、信息全面；</w:t>
      </w:r>
    </w:p>
    <w:p w14:paraId="06C6615A">
      <w:pPr>
        <w:pStyle w:val="60"/>
        <w:numPr>
          <w:ilvl w:val="0"/>
          <w:numId w:val="19"/>
        </w:numPr>
        <w:bidi w:val="0"/>
        <w:ind w:left="851" w:leftChars="0" w:hanging="426" w:firstLineChars="0"/>
        <w:rPr>
          <w:color w:val="auto"/>
          <w:highlight w:val="none"/>
        </w:rPr>
      </w:pPr>
      <w:r>
        <w:rPr>
          <w:color w:val="auto"/>
          <w:highlight w:val="none"/>
        </w:rPr>
        <w:t>对于标准体系结构图中含有标准内容的子体系需给出全部标准明细，子体系中只起标题作用而无标准内容的不给出标准明细；</w:t>
      </w:r>
    </w:p>
    <w:p w14:paraId="343DD5E4">
      <w:pPr>
        <w:pStyle w:val="60"/>
        <w:numPr>
          <w:ilvl w:val="0"/>
          <w:numId w:val="19"/>
        </w:numPr>
        <w:bidi w:val="0"/>
        <w:ind w:left="851" w:leftChars="0" w:hanging="426" w:firstLineChars="0"/>
        <w:rPr>
          <w:color w:val="auto"/>
          <w:highlight w:val="none"/>
        </w:rPr>
      </w:pPr>
      <w:bookmarkStart w:id="20" w:name="_bookmark11"/>
      <w:bookmarkEnd w:id="20"/>
      <w:r>
        <w:rPr>
          <w:color w:val="auto"/>
          <w:highlight w:val="none"/>
        </w:rPr>
        <w:t>表头信息可包括序号、标准体系内标准编号、标准名称、发布日期、实施日期、主管部门、上级标准编号、标准状态等；</w:t>
      </w:r>
    </w:p>
    <w:p w14:paraId="745CCE86">
      <w:pPr>
        <w:pStyle w:val="60"/>
        <w:numPr>
          <w:ilvl w:val="0"/>
          <w:numId w:val="19"/>
        </w:numPr>
        <w:bidi w:val="0"/>
        <w:ind w:left="851" w:leftChars="0" w:hanging="426" w:firstLineChars="0"/>
        <w:rPr>
          <w:color w:val="auto"/>
          <w:highlight w:val="none"/>
        </w:rPr>
      </w:pPr>
      <w:r>
        <w:rPr>
          <w:color w:val="auto"/>
          <w:highlight w:val="none"/>
        </w:rPr>
        <w:t>内容包括适用的国家标准、行业标准、地方标准、团体标准以及</w:t>
      </w:r>
      <w:r>
        <w:rPr>
          <w:rFonts w:hint="eastAsia"/>
          <w:color w:val="auto"/>
          <w:highlight w:val="none"/>
          <w:lang w:eastAsia="zh-CN"/>
        </w:rPr>
        <w:t>企业</w:t>
      </w:r>
      <w:r>
        <w:rPr>
          <w:color w:val="auto"/>
          <w:highlight w:val="none"/>
        </w:rPr>
        <w:t>制定的企业标准；</w:t>
      </w:r>
    </w:p>
    <w:p w14:paraId="7C82F4E5">
      <w:pPr>
        <w:pStyle w:val="60"/>
        <w:numPr>
          <w:ilvl w:val="0"/>
          <w:numId w:val="19"/>
        </w:numPr>
        <w:bidi w:val="0"/>
        <w:ind w:left="851" w:leftChars="0" w:hanging="426" w:firstLineChars="0"/>
        <w:rPr>
          <w:rFonts w:hint="default"/>
          <w:color w:val="auto"/>
          <w:highlight w:val="none"/>
          <w:lang w:val="en-US" w:eastAsia="zh-CN"/>
        </w:rPr>
      </w:pPr>
      <w:r>
        <w:rPr>
          <w:color w:val="auto"/>
          <w:highlight w:val="none"/>
        </w:rPr>
        <w:t>标准编号宜唯一、可扩展。</w:t>
      </w:r>
    </w:p>
    <w:p w14:paraId="456FD4AF">
      <w:pPr>
        <w:pStyle w:val="72"/>
        <w:bidi w:val="0"/>
        <w:rPr>
          <w:rFonts w:hint="default"/>
          <w:color w:val="auto"/>
          <w:highlight w:val="none"/>
          <w:lang w:val="en-US" w:eastAsia="zh-CN"/>
        </w:rPr>
      </w:pPr>
      <w:r>
        <w:rPr>
          <w:rFonts w:hint="eastAsia"/>
          <w:color w:val="auto"/>
          <w:highlight w:val="none"/>
          <w:lang w:val="en-US" w:eastAsia="zh-CN"/>
        </w:rPr>
        <w:t>体系结构及内容</w:t>
      </w:r>
    </w:p>
    <w:p w14:paraId="50C1796A">
      <w:pPr>
        <w:pStyle w:val="73"/>
        <w:bidi w:val="0"/>
        <w:rPr>
          <w:highlight w:val="none"/>
        </w:rPr>
      </w:pPr>
      <w:r>
        <w:rPr>
          <w:highlight w:val="none"/>
        </w:rPr>
        <w:t>总体结构</w:t>
      </w:r>
    </w:p>
    <w:p w14:paraId="256E3EBE">
      <w:pPr>
        <w:pStyle w:val="25"/>
        <w:bidi w:val="0"/>
        <w:rPr>
          <w:rFonts w:ascii="宋体" w:hAnsi="宋体" w:eastAsia="宋体" w:cs="宋体"/>
          <w:sz w:val="20"/>
          <w:szCs w:val="20"/>
          <w:highlight w:val="none"/>
        </w:rPr>
      </w:pPr>
      <w:r>
        <w:rPr>
          <w:rFonts w:hint="eastAsia" w:hAnsi="宋体" w:cs="宋体"/>
          <w:spacing w:val="5"/>
          <w:sz w:val="20"/>
          <w:szCs w:val="20"/>
          <w:highlight w:val="none"/>
          <w:lang w:val="en-US" w:eastAsia="zh-CN"/>
        </w:rPr>
        <w:t>规范</w:t>
      </w:r>
      <w:r>
        <w:rPr>
          <w:rFonts w:ascii="宋体" w:hAnsi="宋体" w:eastAsia="宋体" w:cs="宋体"/>
          <w:spacing w:val="5"/>
          <w:sz w:val="20"/>
          <w:szCs w:val="20"/>
          <w:highlight w:val="none"/>
        </w:rPr>
        <w:t>标准体系包括</w:t>
      </w:r>
      <w:r>
        <w:rPr>
          <w:rFonts w:hint="eastAsia" w:hAnsi="宋体" w:cs="宋体"/>
          <w:spacing w:val="5"/>
          <w:sz w:val="20"/>
          <w:szCs w:val="20"/>
          <w:highlight w:val="none"/>
          <w:lang w:val="en-US" w:eastAsia="zh-CN"/>
        </w:rPr>
        <w:t>管理</w:t>
      </w:r>
      <w:r>
        <w:rPr>
          <w:rFonts w:ascii="宋体" w:hAnsi="宋体" w:eastAsia="宋体" w:cs="宋体"/>
          <w:spacing w:val="5"/>
          <w:sz w:val="20"/>
          <w:szCs w:val="20"/>
          <w:highlight w:val="none"/>
        </w:rPr>
        <w:t>标准体系、</w:t>
      </w:r>
      <w:r>
        <w:rPr>
          <w:rFonts w:hint="eastAsia" w:hAnsi="宋体" w:cs="宋体"/>
          <w:spacing w:val="5"/>
          <w:sz w:val="20"/>
          <w:szCs w:val="20"/>
          <w:highlight w:val="none"/>
          <w:lang w:val="en-US" w:eastAsia="zh-CN"/>
        </w:rPr>
        <w:t>环境</w:t>
      </w:r>
      <w:r>
        <w:rPr>
          <w:rFonts w:ascii="宋体" w:hAnsi="宋体" w:eastAsia="宋体" w:cs="宋体"/>
          <w:spacing w:val="4"/>
          <w:sz w:val="20"/>
          <w:szCs w:val="20"/>
          <w:highlight w:val="none"/>
        </w:rPr>
        <w:t>标准体系、</w:t>
      </w:r>
      <w:r>
        <w:rPr>
          <w:rFonts w:hint="eastAsia" w:hAnsi="宋体" w:cs="宋体"/>
          <w:spacing w:val="4"/>
          <w:sz w:val="20"/>
          <w:szCs w:val="20"/>
          <w:highlight w:val="none"/>
          <w:lang w:val="en-US" w:eastAsia="zh-CN"/>
        </w:rPr>
        <w:t>员工保障标准体系、设施设备</w:t>
      </w:r>
      <w:r>
        <w:rPr>
          <w:rFonts w:ascii="宋体" w:hAnsi="宋体" w:eastAsia="宋体" w:cs="宋体"/>
          <w:spacing w:val="4"/>
          <w:sz w:val="20"/>
          <w:szCs w:val="20"/>
          <w:highlight w:val="none"/>
        </w:rPr>
        <w:t>标准体系</w:t>
      </w:r>
      <w:r>
        <w:rPr>
          <w:rFonts w:hint="eastAsia" w:hAnsi="宋体" w:cs="宋体"/>
          <w:spacing w:val="4"/>
          <w:sz w:val="20"/>
          <w:szCs w:val="20"/>
          <w:highlight w:val="none"/>
          <w:lang w:val="en-US" w:eastAsia="zh-CN"/>
        </w:rPr>
        <w:t>和安全标准体系五</w:t>
      </w:r>
      <w:r>
        <w:rPr>
          <w:rFonts w:ascii="宋体" w:hAnsi="宋体" w:eastAsia="宋体" w:cs="宋体"/>
          <w:spacing w:val="10"/>
          <w:sz w:val="20"/>
          <w:szCs w:val="20"/>
          <w:highlight w:val="none"/>
        </w:rPr>
        <w:t>个子体系。</w:t>
      </w:r>
      <w:r>
        <w:rPr>
          <w:rFonts w:hint="eastAsia" w:hAnsi="宋体" w:cs="宋体"/>
          <w:spacing w:val="10"/>
          <w:sz w:val="20"/>
          <w:szCs w:val="20"/>
          <w:highlight w:val="none"/>
          <w:lang w:val="en-US" w:eastAsia="zh-CN"/>
        </w:rPr>
        <w:t>规范</w:t>
      </w:r>
      <w:r>
        <w:rPr>
          <w:rFonts w:ascii="宋体" w:hAnsi="宋体" w:eastAsia="宋体" w:cs="宋体"/>
          <w:spacing w:val="10"/>
          <w:sz w:val="20"/>
          <w:szCs w:val="20"/>
          <w:highlight w:val="none"/>
        </w:rPr>
        <w:t>标准体系</w:t>
      </w:r>
      <w:r>
        <w:rPr>
          <w:rFonts w:hint="eastAsia" w:hAnsi="宋体" w:cs="宋体"/>
          <w:spacing w:val="10"/>
          <w:sz w:val="20"/>
          <w:szCs w:val="20"/>
          <w:highlight w:val="none"/>
          <w:lang w:eastAsia="zh-CN"/>
        </w:rPr>
        <w:t>的</w:t>
      </w:r>
      <w:r>
        <w:rPr>
          <w:rFonts w:hint="eastAsia" w:hAnsi="宋体" w:cs="宋体"/>
          <w:spacing w:val="10"/>
          <w:sz w:val="20"/>
          <w:szCs w:val="20"/>
          <w:highlight w:val="none"/>
          <w:lang w:val="en-US" w:eastAsia="zh-CN"/>
        </w:rPr>
        <w:t>体系关系见图2，</w:t>
      </w:r>
      <w:r>
        <w:rPr>
          <w:rFonts w:ascii="宋体" w:hAnsi="宋体" w:eastAsia="宋体" w:cs="宋体"/>
          <w:spacing w:val="10"/>
          <w:sz w:val="20"/>
          <w:szCs w:val="20"/>
          <w:highlight w:val="none"/>
        </w:rPr>
        <w:t>总体结构见图</w:t>
      </w:r>
      <w:r>
        <w:rPr>
          <w:rFonts w:hint="eastAsia" w:hAnsi="宋体" w:cs="宋体"/>
          <w:spacing w:val="10"/>
          <w:sz w:val="20"/>
          <w:szCs w:val="20"/>
          <w:highlight w:val="none"/>
          <w:lang w:val="en-US" w:eastAsia="zh-CN"/>
        </w:rPr>
        <w:t>3</w:t>
      </w:r>
      <w:r>
        <w:rPr>
          <w:rFonts w:ascii="宋体" w:hAnsi="宋体" w:eastAsia="宋体" w:cs="宋体"/>
          <w:spacing w:val="10"/>
          <w:sz w:val="20"/>
          <w:szCs w:val="20"/>
          <w:highlight w:val="none"/>
        </w:rPr>
        <w:t>。</w:t>
      </w:r>
    </w:p>
    <w:p w14:paraId="1FC4AE1E">
      <w:pPr>
        <w:jc w:val="center"/>
        <w:rPr>
          <w:rFonts w:ascii="宋体" w:hAnsi="宋体" w:eastAsia="宋体" w:cs="宋体"/>
          <w:spacing w:val="-18"/>
          <w:sz w:val="20"/>
          <w:szCs w:val="20"/>
          <w:highlight w:val="none"/>
        </w:rPr>
      </w:pPr>
      <w:r>
        <w:rPr>
          <w:rFonts w:ascii="宋体" w:hAnsi="宋体" w:eastAsia="宋体" w:cs="宋体"/>
          <w:spacing w:val="-18"/>
          <w:sz w:val="20"/>
          <w:szCs w:val="20"/>
          <w:highlight w:val="none"/>
        </w:rPr>
        <w:object>
          <v:shape id="_x0000_i1026" o:spt="75" type="#_x0000_t75" style="height:298.5pt;width:350.25pt;" o:ole="t" filled="f" o:preferrelative="t" stroked="f" coordsize="21600,21600">
            <v:path/>
            <v:fill on="f" focussize="0,0"/>
            <v:stroke on="f"/>
            <v:imagedata r:id="rId13" o:title=""/>
            <o:lock v:ext="edit" aspectratio="f"/>
            <w10:wrap type="none"/>
            <w10:anchorlock/>
          </v:shape>
          <o:OLEObject Type="Embed" ProgID="Visio.Drawing.11" ShapeID="_x0000_i1026" DrawAspect="Content" ObjectID="_1468075726" r:id="rId12">
            <o:LockedField>false</o:LockedField>
          </o:OLEObject>
        </w:object>
      </w:r>
    </w:p>
    <w:p w14:paraId="3E69F295">
      <w:pPr>
        <w:jc w:val="center"/>
        <w:rPr>
          <w:rFonts w:ascii="宋体" w:hAnsi="宋体" w:eastAsia="宋体" w:cs="宋体"/>
          <w:b/>
          <w:bCs/>
          <w:spacing w:val="-18"/>
          <w:sz w:val="20"/>
          <w:szCs w:val="20"/>
          <w:highlight w:val="none"/>
        </w:rPr>
      </w:pPr>
      <w:r>
        <w:rPr>
          <w:rFonts w:hint="eastAsia"/>
          <w:b/>
          <w:bCs/>
          <w:highlight w:val="none"/>
          <w:lang w:val="en-US" w:eastAsia="zh-CN"/>
        </w:rPr>
        <w:t>图2  规范标准体系关系图</w:t>
      </w:r>
    </w:p>
    <w:p w14:paraId="1B4098A9">
      <w:pPr>
        <w:pStyle w:val="106"/>
        <w:bidi w:val="0"/>
        <w:rPr>
          <w:highlight w:val="none"/>
        </w:rPr>
      </w:pPr>
      <w:r>
        <w:rPr>
          <w:highlight w:val="none"/>
        </w:rPr>
        <w:t>指导标准是</w:t>
      </w:r>
      <w:r>
        <w:rPr>
          <w:rFonts w:hint="eastAsia"/>
          <w:highlight w:val="none"/>
          <w:lang w:val="en-US" w:eastAsia="zh-CN"/>
        </w:rPr>
        <w:t>烟叶复烤生产企业</w:t>
      </w:r>
      <w:r>
        <w:rPr>
          <w:highlight w:val="none"/>
        </w:rPr>
        <w:t>不直接实施，但对</w:t>
      </w:r>
      <w:r>
        <w:rPr>
          <w:rFonts w:hint="eastAsia"/>
          <w:highlight w:val="none"/>
          <w:lang w:eastAsia="zh-CN"/>
        </w:rPr>
        <w:t>烟叶复烤生产企业</w:t>
      </w:r>
      <w:r>
        <w:rPr>
          <w:highlight w:val="none"/>
        </w:rPr>
        <w:t>标准体系有指导作用，可将其全部或部分转化为</w:t>
      </w:r>
      <w:r>
        <w:rPr>
          <w:rFonts w:hint="eastAsia"/>
          <w:highlight w:val="none"/>
          <w:lang w:val="en-US" w:eastAsia="zh-CN"/>
        </w:rPr>
        <w:t>规范</w:t>
      </w:r>
      <w:r>
        <w:rPr>
          <w:highlight w:val="none"/>
        </w:rPr>
        <w:t>标准体系中的标准。</w:t>
      </w:r>
    </w:p>
    <w:p w14:paraId="20F6ABAE">
      <w:pPr>
        <w:spacing w:before="229" w:line="244" w:lineRule="auto"/>
        <w:ind w:left="720" w:right="1" w:hanging="320"/>
        <w:jc w:val="center"/>
        <w:rPr>
          <w:rFonts w:ascii="宋体" w:hAnsi="宋体" w:eastAsia="宋体" w:cs="宋体"/>
          <w:spacing w:val="-18"/>
          <w:sz w:val="20"/>
          <w:szCs w:val="20"/>
          <w:highlight w:val="none"/>
        </w:rPr>
      </w:pPr>
      <w:r>
        <w:rPr>
          <w:rFonts w:hint="eastAsia" w:ascii="黑体" w:hAnsi="黑体" w:eastAsia="黑体" w:cs="黑体"/>
          <w:kern w:val="0"/>
          <w:sz w:val="32"/>
          <w:highlight w:val="none"/>
          <w:lang w:val="en-US" w:eastAsia="zh-CN"/>
        </w:rPr>
        <w:object>
          <v:shape id="_x0000_i1027" o:spt="75" type="#_x0000_t75" style="height:212.05pt;width:184pt;" o:ole="t" filled="f" o:preferrelative="t" stroked="f" coordsize="21600,21600">
            <v:path/>
            <v:fill on="f" focussize="0,0"/>
            <v:stroke on="f"/>
            <v:imagedata r:id="rId15" o:title=""/>
            <o:lock v:ext="edit" aspectratio="f"/>
            <w10:wrap type="none"/>
            <w10:anchorlock/>
          </v:shape>
          <o:OLEObject Type="Embed" ProgID="Visio.Drawing.11" ShapeID="_x0000_i1027" DrawAspect="Content" ObjectID="_1468075727" r:id="rId14">
            <o:LockedField>false</o:LockedField>
          </o:OLEObject>
        </w:object>
      </w:r>
    </w:p>
    <w:p w14:paraId="56E0EBDA">
      <w:pPr>
        <w:pStyle w:val="114"/>
        <w:numPr>
          <w:ilvl w:val="0"/>
          <w:numId w:val="0"/>
        </w:numPr>
        <w:bidi w:val="0"/>
        <w:ind w:leftChars="0"/>
        <w:rPr>
          <w:highlight w:val="none"/>
        </w:rPr>
      </w:pPr>
      <w:r>
        <w:rPr>
          <w:rFonts w:hint="eastAsia"/>
          <w:highlight w:val="none"/>
          <w:lang w:val="en-US" w:eastAsia="zh-CN"/>
        </w:rPr>
        <w:t>图3  规范指南标准体系总体结构图</w:t>
      </w:r>
    </w:p>
    <w:p w14:paraId="4B52D29E">
      <w:pPr>
        <w:pStyle w:val="73"/>
        <w:bidi w:val="0"/>
        <w:rPr>
          <w:rFonts w:hint="eastAsia"/>
          <w:highlight w:val="none"/>
          <w:lang w:val="en-US" w:eastAsia="zh-CN"/>
        </w:rPr>
      </w:pPr>
      <w:r>
        <w:rPr>
          <w:rFonts w:hint="eastAsia"/>
          <w:highlight w:val="none"/>
          <w:lang w:val="en-US" w:eastAsia="zh-CN"/>
        </w:rPr>
        <w:t>管理标准子体系</w:t>
      </w:r>
    </w:p>
    <w:p w14:paraId="2263BCA8">
      <w:pPr>
        <w:pStyle w:val="25"/>
        <w:numPr>
          <w:ilvl w:val="0"/>
          <w:numId w:val="0"/>
        </w:numPr>
        <w:bidi w:val="0"/>
        <w:ind w:leftChars="0" w:firstLine="420" w:firstLineChars="200"/>
        <w:rPr>
          <w:rFonts w:hint="eastAsia"/>
          <w:highlight w:val="none"/>
          <w:lang w:val="en-US" w:eastAsia="zh-CN"/>
        </w:rPr>
      </w:pPr>
      <w:r>
        <w:rPr>
          <w:rFonts w:hint="eastAsia"/>
          <w:szCs w:val="21"/>
          <w:highlight w:val="none"/>
          <w:lang w:val="en-US" w:eastAsia="zh-CN"/>
        </w:rPr>
        <w:t>管理标</w:t>
      </w:r>
      <w:r>
        <w:rPr>
          <w:rFonts w:hint="eastAsia"/>
          <w:sz w:val="21"/>
          <w:szCs w:val="21"/>
          <w:highlight w:val="none"/>
          <w:lang w:val="en-US" w:eastAsia="zh-CN"/>
        </w:rPr>
        <w:t>准子体</w:t>
      </w:r>
      <w:r>
        <w:rPr>
          <w:rFonts w:hint="eastAsia"/>
          <w:highlight w:val="none"/>
          <w:lang w:val="en-US" w:eastAsia="zh-CN"/>
        </w:rPr>
        <w:t xml:space="preserve">系结构图如图4所示，其包含了规范实施承诺书、规范实施记录、风险评估、合法经营相关法律法规文件、档案信息管理、利益相关方合作、关键人员培训、意见及投诉管理、合规性评定、产品追溯等10部分内容。 </w:t>
      </w:r>
    </w:p>
    <w:p w14:paraId="5E366CFC">
      <w:pPr>
        <w:pStyle w:val="25"/>
        <w:numPr>
          <w:ilvl w:val="0"/>
          <w:numId w:val="0"/>
        </w:numPr>
        <w:bidi w:val="0"/>
        <w:ind w:leftChars="0" w:firstLine="420" w:firstLineChars="200"/>
        <w:jc w:val="center"/>
        <w:rPr>
          <w:rFonts w:hint="eastAsia"/>
          <w:highlight w:val="none"/>
          <w:lang w:val="en-US" w:eastAsia="zh-CN"/>
        </w:rPr>
      </w:pPr>
      <w:r>
        <w:rPr>
          <w:rFonts w:hint="eastAsia"/>
          <w:highlight w:val="none"/>
          <w:lang w:val="en-US" w:eastAsia="zh-CN"/>
        </w:rPr>
        <w:object>
          <v:shape id="_x0000_i1028" o:spt="75" type="#_x0000_t75" style="height:215.55pt;width:393.75pt;" o:ole="t" filled="f" o:preferrelative="t" stroked="f" coordsize="21600,21600">
            <v:path/>
            <v:fill on="f" focussize="0,0"/>
            <v:stroke on="f"/>
            <v:imagedata r:id="rId17" o:title=""/>
            <o:lock v:ext="edit" aspectratio="f"/>
            <w10:wrap type="none"/>
            <w10:anchorlock/>
          </v:shape>
          <o:OLEObject Type="Embed" ProgID="Visio.Drawing.11" ShapeID="_x0000_i1028" DrawAspect="Content" ObjectID="_1468075728" r:id="rId16">
            <o:LockedField>false</o:LockedField>
          </o:OLEObject>
        </w:object>
      </w:r>
    </w:p>
    <w:p w14:paraId="0FBFA2D3">
      <w:pPr>
        <w:pStyle w:val="25"/>
        <w:numPr>
          <w:ilvl w:val="0"/>
          <w:numId w:val="0"/>
        </w:numPr>
        <w:bidi w:val="0"/>
        <w:ind w:leftChars="0" w:firstLine="420" w:firstLineChars="200"/>
        <w:jc w:val="center"/>
        <w:rPr>
          <w:rFonts w:hint="eastAsia" w:ascii="黑体" w:hAnsi="黑体" w:eastAsia="黑体" w:cs="黑体"/>
          <w:highlight w:val="none"/>
          <w:lang w:val="en-US" w:eastAsia="zh-CN"/>
        </w:rPr>
      </w:pPr>
    </w:p>
    <w:p w14:paraId="3181EAFB">
      <w:pPr>
        <w:pStyle w:val="25"/>
        <w:numPr>
          <w:ilvl w:val="0"/>
          <w:numId w:val="0"/>
        </w:numPr>
        <w:bidi w:val="0"/>
        <w:ind w:firstLine="420" w:firstLineChars="200"/>
        <w:jc w:val="center"/>
        <w:rPr>
          <w:rFonts w:hint="eastAsia" w:ascii="黑体" w:hAnsi="黑体" w:eastAsia="黑体" w:cs="黑体"/>
          <w:highlight w:val="none"/>
          <w:lang w:val="en-US" w:eastAsia="zh-CN"/>
        </w:rPr>
      </w:pPr>
      <w:r>
        <w:rPr>
          <w:rFonts w:hint="eastAsia" w:ascii="黑体" w:hAnsi="黑体" w:eastAsia="黑体" w:cs="黑体"/>
          <w:highlight w:val="none"/>
          <w:lang w:val="en-US" w:eastAsia="zh-CN"/>
        </w:rPr>
        <w:t>图4  管理标准子体系结构图</w:t>
      </w:r>
    </w:p>
    <w:p w14:paraId="672D0B59">
      <w:pPr>
        <w:pStyle w:val="73"/>
        <w:tabs>
          <w:tab w:val="left" w:pos="8510"/>
        </w:tabs>
        <w:bidi w:val="0"/>
        <w:rPr>
          <w:rFonts w:hint="eastAsia"/>
          <w:highlight w:val="none"/>
          <w:lang w:val="en-US" w:eastAsia="zh-CN"/>
        </w:rPr>
      </w:pPr>
      <w:r>
        <w:rPr>
          <w:rFonts w:hint="eastAsia"/>
          <w:highlight w:val="none"/>
          <w:lang w:val="en-US" w:eastAsia="zh-CN"/>
        </w:rPr>
        <w:t>环境标准子体系</w:t>
      </w:r>
      <w:r>
        <w:rPr>
          <w:rFonts w:hint="eastAsia"/>
          <w:highlight w:val="none"/>
          <w:lang w:val="en-US" w:eastAsia="zh-CN"/>
        </w:rPr>
        <w:tab/>
      </w:r>
    </w:p>
    <w:p w14:paraId="27A1C8E0">
      <w:pPr>
        <w:pStyle w:val="25"/>
        <w:bidi w:val="0"/>
        <w:rPr>
          <w:rFonts w:hint="eastAsia"/>
          <w:highlight w:val="none"/>
          <w:lang w:val="en-US" w:eastAsia="zh-CN"/>
        </w:rPr>
      </w:pPr>
      <w:r>
        <w:rPr>
          <w:rFonts w:hint="eastAsia"/>
          <w:highlight w:val="none"/>
          <w:lang w:val="en-US" w:eastAsia="zh-CN"/>
        </w:rPr>
        <w:t>环境标准子体系结构图如图5所示，其包含了厂界排放（包含</w:t>
      </w:r>
      <w:r>
        <w:rPr>
          <w:highlight w:val="none"/>
        </w:rPr>
        <w:t>锅炉、噪音</w:t>
      </w:r>
      <w:r>
        <w:rPr>
          <w:rFonts w:hint="eastAsia"/>
          <w:highlight w:val="none"/>
          <w:lang w:eastAsia="zh-CN"/>
        </w:rPr>
        <w:t>、</w:t>
      </w:r>
      <w:r>
        <w:rPr>
          <w:highlight w:val="none"/>
        </w:rPr>
        <w:t>粉尘</w:t>
      </w:r>
      <w:r>
        <w:rPr>
          <w:rFonts w:hint="eastAsia"/>
          <w:highlight w:val="none"/>
          <w:lang w:eastAsia="zh-CN"/>
        </w:rPr>
        <w:t>、</w:t>
      </w:r>
      <w:r>
        <w:rPr>
          <w:highlight w:val="none"/>
        </w:rPr>
        <w:t>气味</w:t>
      </w:r>
      <w:r>
        <w:rPr>
          <w:rFonts w:hint="eastAsia"/>
          <w:highlight w:val="none"/>
          <w:lang w:val="en-US" w:eastAsia="zh-CN"/>
        </w:rPr>
        <w:t>）、</w:t>
      </w:r>
      <w:r>
        <w:rPr>
          <w:highlight w:val="none"/>
        </w:rPr>
        <w:t>废弃物处置</w:t>
      </w:r>
      <w:r>
        <w:rPr>
          <w:rFonts w:hint="eastAsia"/>
          <w:highlight w:val="none"/>
          <w:lang w:eastAsia="zh-CN"/>
        </w:rPr>
        <w:t>（</w:t>
      </w:r>
      <w:r>
        <w:rPr>
          <w:rFonts w:hint="eastAsia"/>
          <w:highlight w:val="none"/>
          <w:lang w:val="en-US" w:eastAsia="zh-CN"/>
        </w:rPr>
        <w:t>包含非危险废弃物、危险废弃物、废水</w:t>
      </w:r>
      <w:r>
        <w:rPr>
          <w:rFonts w:hint="eastAsia"/>
          <w:highlight w:val="none"/>
          <w:lang w:eastAsia="zh-CN"/>
        </w:rPr>
        <w:t>）</w:t>
      </w:r>
      <w:r>
        <w:rPr>
          <w:rFonts w:hint="eastAsia"/>
          <w:highlight w:val="none"/>
          <w:lang w:val="en-US" w:eastAsia="zh-CN"/>
        </w:rPr>
        <w:t>、燃料和化学品储存、资源的使用和温室气体的排放（包含</w:t>
      </w:r>
      <w:r>
        <w:rPr>
          <w:rFonts w:hint="eastAsia"/>
          <w:highlight w:val="none"/>
        </w:rPr>
        <w:t>废弃物产生</w:t>
      </w:r>
      <w:r>
        <w:rPr>
          <w:rFonts w:hint="eastAsia"/>
          <w:highlight w:val="none"/>
          <w:lang w:eastAsia="zh-CN"/>
        </w:rPr>
        <w:t>、</w:t>
      </w:r>
      <w:r>
        <w:rPr>
          <w:highlight w:val="none"/>
        </w:rPr>
        <w:t>工厂降耗</w:t>
      </w:r>
      <w:r>
        <w:rPr>
          <w:rFonts w:hint="eastAsia"/>
          <w:highlight w:val="none"/>
          <w:lang w:eastAsia="zh-CN"/>
        </w:rPr>
        <w:t>、</w:t>
      </w:r>
      <w:r>
        <w:rPr>
          <w:highlight w:val="none"/>
        </w:rPr>
        <w:t>节水</w:t>
      </w:r>
      <w:r>
        <w:rPr>
          <w:rFonts w:hint="eastAsia"/>
          <w:highlight w:val="none"/>
          <w:lang w:eastAsia="zh-CN"/>
        </w:rPr>
        <w:t>、</w:t>
      </w:r>
      <w:r>
        <w:rPr>
          <w:highlight w:val="none"/>
        </w:rPr>
        <w:t>工厂车辆节油</w:t>
      </w:r>
      <w:r>
        <w:rPr>
          <w:rFonts w:hint="eastAsia"/>
          <w:highlight w:val="none"/>
          <w:lang w:eastAsia="zh-CN"/>
        </w:rPr>
        <w:t>、</w:t>
      </w:r>
      <w:r>
        <w:rPr>
          <w:highlight w:val="none"/>
        </w:rPr>
        <w:t>烟草加工温室气体（GHG）排放</w:t>
      </w:r>
      <w:r>
        <w:rPr>
          <w:rFonts w:hint="eastAsia"/>
          <w:highlight w:val="none"/>
          <w:lang w:val="en-US" w:eastAsia="zh-CN"/>
        </w:rPr>
        <w:t>）等4部分内容。</w:t>
      </w:r>
    </w:p>
    <w:p w14:paraId="2133E3D4">
      <w:pPr>
        <w:pStyle w:val="25"/>
        <w:bidi w:val="0"/>
        <w:ind w:firstLine="0" w:firstLineChars="0"/>
        <w:jc w:val="center"/>
        <w:rPr>
          <w:rFonts w:hint="eastAsia"/>
          <w:highlight w:val="none"/>
          <w:lang w:val="en-US" w:eastAsia="zh-CN"/>
        </w:rPr>
      </w:pPr>
      <w:r>
        <w:rPr>
          <w:rFonts w:hint="eastAsia"/>
          <w:highlight w:val="none"/>
          <w:lang w:val="en-US" w:eastAsia="zh-CN"/>
        </w:rPr>
        <w:object>
          <v:shape id="_x0000_i1029" o:spt="75" type="#_x0000_t75" style="height:218.75pt;width:147.75pt;" o:ole="t" filled="f" o:preferrelative="t" stroked="f" coordsize="21600,21600">
            <v:path/>
            <v:fill on="f" focussize="0,0"/>
            <v:stroke on="f"/>
            <v:imagedata r:id="rId19" o:title=""/>
            <o:lock v:ext="edit" aspectratio="f"/>
            <w10:wrap type="none"/>
            <w10:anchorlock/>
          </v:shape>
          <o:OLEObject Type="Embed" ProgID="Visio.Drawing.11" ShapeID="_x0000_i1029" DrawAspect="Content" ObjectID="_1468075729" r:id="rId18">
            <o:LockedField>false</o:LockedField>
          </o:OLEObject>
        </w:object>
      </w:r>
    </w:p>
    <w:p w14:paraId="206BFBBE">
      <w:pPr>
        <w:pStyle w:val="25"/>
        <w:ind w:firstLine="0" w:firstLineChars="0"/>
        <w:jc w:val="center"/>
        <w:rPr>
          <w:rFonts w:hint="eastAsia"/>
          <w:highlight w:val="none"/>
          <w:lang w:val="en-US" w:eastAsia="zh-CN"/>
        </w:rPr>
      </w:pPr>
      <w:r>
        <w:rPr>
          <w:rFonts w:hint="eastAsia"/>
          <w:b/>
          <w:bCs/>
          <w:highlight w:val="none"/>
          <w:lang w:val="en-US" w:eastAsia="zh-CN"/>
        </w:rPr>
        <w:t>图5  环境标准子体系结构图</w:t>
      </w:r>
    </w:p>
    <w:p w14:paraId="68521B95">
      <w:pPr>
        <w:pStyle w:val="73"/>
        <w:bidi w:val="0"/>
        <w:rPr>
          <w:rFonts w:hint="eastAsia"/>
          <w:highlight w:val="none"/>
          <w:lang w:val="en-US" w:eastAsia="zh-CN"/>
        </w:rPr>
      </w:pPr>
      <w:r>
        <w:rPr>
          <w:rFonts w:hint="eastAsia"/>
          <w:highlight w:val="none"/>
          <w:lang w:val="en-US" w:eastAsia="zh-CN"/>
        </w:rPr>
        <w:t>人员保障标准子体系</w:t>
      </w:r>
    </w:p>
    <w:p w14:paraId="4FFE19EE">
      <w:pPr>
        <w:pStyle w:val="25"/>
        <w:bidi w:val="0"/>
        <w:rPr>
          <w:rFonts w:hint="eastAsia"/>
          <w:highlight w:val="none"/>
          <w:lang w:val="en-US" w:eastAsia="zh-CN"/>
        </w:rPr>
      </w:pPr>
      <w:r>
        <w:rPr>
          <w:rFonts w:hint="eastAsia"/>
          <w:highlight w:val="none"/>
          <w:lang w:val="en-US" w:eastAsia="zh-CN"/>
        </w:rPr>
        <w:t>人员标准子体系结构图如图6所示，其包含了劳动法律法规文件、劳动合同、员工培训、员工评价、工作待遇、公平待遇、员工体检和公益计划实施等8部分内容。</w:t>
      </w:r>
    </w:p>
    <w:p w14:paraId="2D0CD457">
      <w:pPr>
        <w:pStyle w:val="114"/>
        <w:numPr>
          <w:ilvl w:val="0"/>
          <w:numId w:val="0"/>
        </w:numPr>
        <w:bidi w:val="0"/>
        <w:ind w:leftChars="0"/>
        <w:rPr>
          <w:rFonts w:hint="eastAsia"/>
          <w:highlight w:val="none"/>
          <w:lang w:val="en-US" w:eastAsia="zh-CN"/>
        </w:rPr>
      </w:pPr>
      <w:r>
        <w:rPr>
          <w:rFonts w:hint="eastAsia"/>
          <w:highlight w:val="none"/>
          <w:lang w:val="en-US" w:eastAsia="zh-CN"/>
        </w:rPr>
        <w:object>
          <v:shape id="_x0000_i1030" o:spt="75" type="#_x0000_t75" style="height:202.05pt;width:313.75pt;" o:ole="t" filled="f" o:preferrelative="t" stroked="f" coordsize="21600,21600">
            <v:path/>
            <v:fill on="f" focussize="0,0"/>
            <v:stroke on="f"/>
            <v:imagedata r:id="rId21" o:title=""/>
            <o:lock v:ext="edit" aspectratio="f"/>
            <w10:wrap type="none"/>
            <w10:anchorlock/>
          </v:shape>
          <o:OLEObject Type="Embed" ProgID="Visio.Drawing.11" ShapeID="_x0000_i1030" DrawAspect="Content" ObjectID="_1468075730" r:id="rId20">
            <o:LockedField>false</o:LockedField>
          </o:OLEObject>
        </w:object>
      </w:r>
    </w:p>
    <w:p w14:paraId="7E652A8D">
      <w:pPr>
        <w:pStyle w:val="114"/>
        <w:numPr>
          <w:ilvl w:val="0"/>
          <w:numId w:val="0"/>
        </w:numPr>
        <w:bidi w:val="0"/>
        <w:ind w:leftChars="0"/>
        <w:rPr>
          <w:rFonts w:hint="eastAsia"/>
          <w:highlight w:val="none"/>
          <w:lang w:val="en-US" w:eastAsia="zh-CN"/>
        </w:rPr>
      </w:pPr>
      <w:r>
        <w:rPr>
          <w:rFonts w:hint="eastAsia"/>
          <w:highlight w:val="none"/>
          <w:lang w:val="en-US" w:eastAsia="zh-CN"/>
        </w:rPr>
        <w:t>图6 人员保障标准子体系结构图</w:t>
      </w:r>
    </w:p>
    <w:p w14:paraId="5FB652EE">
      <w:pPr>
        <w:pStyle w:val="73"/>
        <w:bidi w:val="0"/>
        <w:rPr>
          <w:rFonts w:hint="default"/>
          <w:highlight w:val="none"/>
          <w:lang w:val="en-US" w:eastAsia="zh-CN"/>
        </w:rPr>
      </w:pPr>
      <w:r>
        <w:rPr>
          <w:rFonts w:hint="eastAsia"/>
          <w:highlight w:val="none"/>
          <w:lang w:val="en-US" w:eastAsia="zh-CN"/>
        </w:rPr>
        <w:t>设施设备标准子体系</w:t>
      </w:r>
    </w:p>
    <w:p w14:paraId="2292CF9D">
      <w:pPr>
        <w:pStyle w:val="25"/>
        <w:bidi w:val="0"/>
        <w:rPr>
          <w:rFonts w:hint="eastAsia"/>
          <w:highlight w:val="none"/>
          <w:lang w:val="en-US" w:eastAsia="zh-CN"/>
        </w:rPr>
      </w:pPr>
      <w:r>
        <w:rPr>
          <w:rFonts w:hint="eastAsia"/>
          <w:highlight w:val="none"/>
          <w:lang w:val="en-US" w:eastAsia="zh-CN"/>
        </w:rPr>
        <w:t>设施设备标准子体系结构图如图7所示，其包含了</w:t>
      </w:r>
      <w:r>
        <w:rPr>
          <w:rFonts w:hint="eastAsia" w:ascii="宋体" w:hAnsi="宋体" w:eastAsia="宋体" w:cs="宋体"/>
          <w:spacing w:val="0"/>
          <w:highlight w:val="none"/>
        </w:rPr>
        <w:t>工作场所</w:t>
      </w:r>
      <w:r>
        <w:rPr>
          <w:rFonts w:hint="eastAsia" w:ascii="宋体" w:hAnsi="宋体" w:eastAsia="宋体" w:cs="宋体"/>
          <w:spacing w:val="0"/>
          <w:highlight w:val="none"/>
          <w:lang w:val="en-US" w:eastAsia="zh-CN"/>
        </w:rPr>
        <w:t>设置</w:t>
      </w:r>
      <w:r>
        <w:rPr>
          <w:rFonts w:hint="eastAsia"/>
          <w:highlight w:val="none"/>
          <w:lang w:val="en-US" w:eastAsia="zh-CN"/>
        </w:rPr>
        <w:t>、工作场所卫生、危险物品和生物危害、新工艺和新设备、保护装置和警示标志、个人防护用品、消防设施设备、急救和医疗设施、车辆和驾驶员、厂内非烟物质控制等10部分内容。</w:t>
      </w:r>
    </w:p>
    <w:p w14:paraId="2369E6DB">
      <w:pPr>
        <w:pStyle w:val="25"/>
        <w:numPr>
          <w:ilvl w:val="0"/>
          <w:numId w:val="0"/>
        </w:numPr>
        <w:bidi w:val="0"/>
        <w:ind w:leftChars="0"/>
        <w:jc w:val="center"/>
        <w:rPr>
          <w:rFonts w:hint="eastAsia"/>
          <w:b/>
          <w:bCs/>
          <w:highlight w:val="none"/>
          <w:lang w:val="en-US" w:eastAsia="zh-CN"/>
        </w:rPr>
      </w:pPr>
      <w:r>
        <w:rPr>
          <w:rFonts w:hint="eastAsia"/>
          <w:b/>
          <w:bCs/>
          <w:highlight w:val="none"/>
          <w:lang w:val="en-US" w:eastAsia="zh-CN"/>
        </w:rPr>
        <w:object>
          <v:shape id="_x0000_i1031" o:spt="75" type="#_x0000_t75" style="height:232.5pt;width:414.75pt;" o:ole="t" filled="f" o:preferrelative="t" stroked="f" coordsize="21600,21600">
            <v:path/>
            <v:fill on="f" focussize="0,0"/>
            <v:stroke on="f"/>
            <v:imagedata r:id="rId23" o:title=""/>
            <o:lock v:ext="edit" aspectratio="f"/>
            <w10:wrap type="none"/>
            <w10:anchorlock/>
          </v:shape>
          <o:OLEObject Type="Embed" ProgID="Visio.Drawing.11" ShapeID="_x0000_i1031" DrawAspect="Content" ObjectID="_1468075731" r:id="rId22">
            <o:LockedField>false</o:LockedField>
          </o:OLEObject>
        </w:object>
      </w:r>
    </w:p>
    <w:p w14:paraId="513DD106">
      <w:pPr>
        <w:pStyle w:val="25"/>
        <w:numPr>
          <w:ilvl w:val="0"/>
          <w:numId w:val="0"/>
        </w:numPr>
        <w:bidi w:val="0"/>
        <w:ind w:leftChars="0"/>
        <w:jc w:val="center"/>
        <w:rPr>
          <w:rFonts w:hint="default"/>
          <w:b/>
          <w:bCs/>
          <w:highlight w:val="none"/>
          <w:lang w:val="en-US" w:eastAsia="zh-CN"/>
        </w:rPr>
      </w:pPr>
      <w:r>
        <w:rPr>
          <w:rFonts w:hint="eastAsia"/>
          <w:b/>
          <w:bCs/>
          <w:highlight w:val="none"/>
          <w:lang w:val="en-US" w:eastAsia="zh-CN"/>
        </w:rPr>
        <w:t>图7  设施设备标准子体系结构图</w:t>
      </w:r>
    </w:p>
    <w:p w14:paraId="090AE839">
      <w:pPr>
        <w:pStyle w:val="73"/>
        <w:bidi w:val="0"/>
        <w:rPr>
          <w:rFonts w:hint="default"/>
          <w:highlight w:val="none"/>
          <w:lang w:val="en-US" w:eastAsia="zh-CN"/>
        </w:rPr>
      </w:pPr>
      <w:r>
        <w:rPr>
          <w:rFonts w:hint="eastAsia"/>
          <w:highlight w:val="none"/>
          <w:lang w:val="en-US" w:eastAsia="zh-CN"/>
        </w:rPr>
        <w:t>安全管理标准子体系</w:t>
      </w:r>
    </w:p>
    <w:p w14:paraId="3716D607">
      <w:pPr>
        <w:pStyle w:val="25"/>
        <w:bidi w:val="0"/>
        <w:rPr>
          <w:rFonts w:hint="eastAsia"/>
          <w:highlight w:val="none"/>
          <w:lang w:val="en-US" w:eastAsia="zh-CN"/>
        </w:rPr>
      </w:pPr>
      <w:r>
        <w:rPr>
          <w:rFonts w:hint="eastAsia"/>
          <w:highlight w:val="none"/>
          <w:lang w:val="en-US" w:eastAsia="zh-CN"/>
        </w:rPr>
        <w:t>安全管理标准子体系结构图如图8所示，其包含了</w:t>
      </w:r>
      <w:r>
        <w:rPr>
          <w:rFonts w:hint="eastAsia" w:ascii="宋体" w:hAnsi="宋体" w:eastAsia="宋体" w:cs="宋体"/>
          <w:spacing w:val="0"/>
          <w:highlight w:val="none"/>
          <w:lang w:val="en-US" w:eastAsia="zh-CN"/>
        </w:rPr>
        <w:t>人员安全管理</w:t>
      </w:r>
      <w:r>
        <w:rPr>
          <w:rFonts w:hint="eastAsia"/>
          <w:highlight w:val="none"/>
          <w:lang w:val="en-US" w:eastAsia="zh-CN"/>
        </w:rPr>
        <w:t>、</w:t>
      </w:r>
      <w:r>
        <w:rPr>
          <w:rFonts w:hint="eastAsia" w:ascii="宋体" w:hAnsi="宋体" w:eastAsia="宋体" w:cs="宋体"/>
          <w:spacing w:val="0"/>
          <w:highlight w:val="none"/>
        </w:rPr>
        <w:t>事件预防</w:t>
      </w:r>
      <w:r>
        <w:rPr>
          <w:rFonts w:hint="eastAsia"/>
          <w:highlight w:val="none"/>
          <w:lang w:val="en-US" w:eastAsia="zh-CN"/>
        </w:rPr>
        <w:t>、</w:t>
      </w:r>
      <w:r>
        <w:rPr>
          <w:rFonts w:hint="eastAsia" w:ascii="宋体" w:hAnsi="宋体" w:eastAsia="宋体" w:cs="宋体"/>
          <w:spacing w:val="0"/>
          <w:highlight w:val="none"/>
        </w:rPr>
        <w:t>应急</w:t>
      </w:r>
      <w:r>
        <w:rPr>
          <w:rFonts w:hint="eastAsia" w:ascii="宋体" w:hAnsi="宋体" w:eastAsia="宋体" w:cs="宋体"/>
          <w:spacing w:val="0"/>
          <w:highlight w:val="none"/>
          <w:lang w:val="en-US" w:eastAsia="zh-CN"/>
        </w:rPr>
        <w:t>预案编制</w:t>
      </w:r>
      <w:r>
        <w:rPr>
          <w:rFonts w:hint="eastAsia" w:hAnsi="宋体" w:cs="宋体"/>
          <w:spacing w:val="0"/>
          <w:highlight w:val="none"/>
          <w:lang w:val="en-US" w:eastAsia="zh-CN"/>
        </w:rPr>
        <w:t>及演练</w:t>
      </w:r>
      <w:r>
        <w:rPr>
          <w:rFonts w:hint="eastAsia"/>
          <w:highlight w:val="none"/>
          <w:lang w:val="en-US" w:eastAsia="zh-CN"/>
        </w:rPr>
        <w:t>、</w:t>
      </w:r>
      <w:r>
        <w:rPr>
          <w:rFonts w:hint="eastAsia" w:ascii="宋体" w:hAnsi="宋体" w:eastAsia="宋体" w:cs="宋体"/>
          <w:spacing w:val="0"/>
          <w:highlight w:val="none"/>
          <w:lang w:val="en-US" w:eastAsia="zh-CN"/>
        </w:rPr>
        <w:t>危险作业</w:t>
      </w:r>
      <w:r>
        <w:rPr>
          <w:rFonts w:hint="eastAsia" w:ascii="宋体" w:hAnsi="宋体" w:eastAsia="宋体" w:cs="宋体"/>
          <w:spacing w:val="0"/>
          <w:highlight w:val="none"/>
        </w:rPr>
        <w:t>许可</w:t>
      </w:r>
      <w:r>
        <w:rPr>
          <w:rFonts w:hint="eastAsia"/>
          <w:highlight w:val="none"/>
          <w:lang w:val="en-US" w:eastAsia="zh-CN"/>
        </w:rPr>
        <w:t>和</w:t>
      </w:r>
      <w:r>
        <w:rPr>
          <w:rFonts w:hint="eastAsia" w:ascii="宋体" w:hAnsi="宋体" w:eastAsia="宋体" w:cs="宋体"/>
          <w:spacing w:val="0"/>
          <w:highlight w:val="none"/>
        </w:rPr>
        <w:t>疏散</w:t>
      </w:r>
      <w:r>
        <w:rPr>
          <w:rFonts w:hint="eastAsia"/>
          <w:highlight w:val="none"/>
          <w:lang w:val="en-US" w:eastAsia="zh-CN"/>
        </w:rPr>
        <w:t>等5部分内容。</w:t>
      </w:r>
    </w:p>
    <w:p w14:paraId="6FDCF7D2">
      <w:pPr>
        <w:pStyle w:val="114"/>
        <w:numPr>
          <w:ilvl w:val="0"/>
          <w:numId w:val="0"/>
        </w:numPr>
        <w:bidi w:val="0"/>
        <w:ind w:leftChars="0"/>
        <w:rPr>
          <w:rFonts w:hint="eastAsia"/>
          <w:highlight w:val="none"/>
          <w:lang w:val="en-US" w:eastAsia="zh-CN"/>
        </w:rPr>
      </w:pPr>
      <w:r>
        <w:rPr>
          <w:rFonts w:hint="eastAsia"/>
          <w:highlight w:val="none"/>
          <w:lang w:val="en-US" w:eastAsia="zh-CN"/>
        </w:rPr>
        <w:object>
          <v:shape id="_x0000_i1032" o:spt="75" type="#_x0000_t75" style="height:235.5pt;width:202.5pt;" o:ole="t" filled="f" o:preferrelative="t" stroked="f" coordsize="21600,21600">
            <v:path/>
            <v:fill on="f" focussize="0,0"/>
            <v:stroke on="f"/>
            <v:imagedata r:id="rId25" o:title=""/>
            <o:lock v:ext="edit" aspectratio="f"/>
            <w10:wrap type="none"/>
            <w10:anchorlock/>
          </v:shape>
          <o:OLEObject Type="Embed" ProgID="Visio.Drawing.11" ShapeID="_x0000_i1032" DrawAspect="Content" ObjectID="_1468075732" r:id="rId24">
            <o:LockedField>false</o:LockedField>
          </o:OLEObject>
        </w:object>
      </w:r>
    </w:p>
    <w:p w14:paraId="4FECB6AA">
      <w:pPr>
        <w:pStyle w:val="114"/>
        <w:numPr>
          <w:ilvl w:val="0"/>
          <w:numId w:val="0"/>
        </w:numPr>
        <w:bidi w:val="0"/>
        <w:ind w:leftChars="0"/>
        <w:rPr>
          <w:rFonts w:hint="default"/>
          <w:highlight w:val="none"/>
          <w:lang w:val="en-US" w:eastAsia="zh-CN"/>
        </w:rPr>
      </w:pPr>
      <w:r>
        <w:rPr>
          <w:rFonts w:hint="eastAsia"/>
          <w:highlight w:val="none"/>
          <w:lang w:val="en-US" w:eastAsia="zh-CN"/>
        </w:rPr>
        <w:t>图8  安全管理标准子体系结构图</w:t>
      </w:r>
    </w:p>
    <w:p w14:paraId="7034B878">
      <w:pPr>
        <w:pStyle w:val="112"/>
        <w:bidi w:val="0"/>
        <w:rPr>
          <w:rFonts w:hint="default"/>
          <w:highlight w:val="none"/>
          <w:lang w:val="en-US" w:eastAsia="zh-CN"/>
        </w:rPr>
      </w:pPr>
      <w:bookmarkStart w:id="21" w:name="EndLine"/>
      <w:r>
        <w:rPr>
          <w:rFonts w:hint="default"/>
          <w:highlight w:val="none"/>
          <w:lang w:val="en-US" w:eastAsia="zh-CN"/>
        </w:rPr>
        <w:drawing>
          <wp:inline distT="0" distB="0" distL="114300" distR="114300">
            <wp:extent cx="1485900" cy="317500"/>
            <wp:effectExtent l="0" t="0" r="0" b="6350"/>
            <wp:docPr id="19" name="图片 19" descr="EndLine"/>
            <wp:cNvGraphicFramePr/>
            <a:graphic xmlns:a="http://schemas.openxmlformats.org/drawingml/2006/main">
              <a:graphicData uri="http://schemas.openxmlformats.org/drawingml/2006/picture">
                <pic:pic xmlns:pic="http://schemas.openxmlformats.org/drawingml/2006/picture">
                  <pic:nvPicPr>
                    <pic:cNvPr id="19" name="图片 19" descr="EndLine"/>
                    <pic:cNvPicPr/>
                  </pic:nvPicPr>
                  <pic:blipFill>
                    <a:blip r:embed="rId26"/>
                    <a:stretch>
                      <a:fillRect/>
                    </a:stretch>
                  </pic:blipFill>
                  <pic:spPr>
                    <a:xfrm>
                      <a:off x="0" y="0"/>
                      <a:ext cx="1485900" cy="317500"/>
                    </a:xfrm>
                    <a:prstGeom prst="rect">
                      <a:avLst/>
                    </a:prstGeom>
                  </pic:spPr>
                </pic:pic>
              </a:graphicData>
            </a:graphic>
          </wp:inline>
        </w:drawing>
      </w:r>
      <w:bookmarkEnd w:id="21"/>
    </w:p>
    <w:sectPr>
      <w:footerReference r:id="rId7" w:type="default"/>
      <w:pgSz w:w="11906" w:h="16838"/>
      <w:pgMar w:top="2410" w:right="1134" w:bottom="1134" w:left="1134" w:header="1418" w:footer="1134" w:gutter="284"/>
      <w:lnNumType w:countBy="0" w:restart="continuou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2D579">
    <w:pPr>
      <w:pStyle w:val="13"/>
      <w:rPr>
        <w:rFonts w:hint="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C642A">
    <w:pPr>
      <w:pStyle w:val="31"/>
      <w:bidi w:val="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8BA31">
    <w:pPr>
      <w:spacing w:line="14" w:lineRule="auto"/>
      <w:rPr>
        <w:rFonts w:ascii="Arial"/>
        <w:sz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87CC6">
    <w:pPr>
      <w:pStyle w:val="25"/>
      <w:bidi w:val="0"/>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F9D68">
    <w:pPr>
      <w:pStyle w:val="32"/>
      <w:bidi w:val="0"/>
      <w:rPr>
        <w:rFonts w:hint="eastAsia" w:eastAsia="黑体"/>
        <w:lang w:eastAsia="zh-CN"/>
      </w:rPr>
    </w:pPr>
    <w:r>
      <w:rPr>
        <w:rFonts w:hint="eastAsia"/>
        <w:lang w:eastAsia="zh-CN"/>
      </w:rPr>
      <w:t>DBXX/T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F7ED8C"/>
    <w:multiLevelType w:val="multilevel"/>
    <w:tmpl w:val="86F7ED8C"/>
    <w:lvl w:ilvl="0" w:tentative="0">
      <w:start w:val="1"/>
      <w:numFmt w:val="decimal"/>
      <w:pStyle w:val="17"/>
      <w:lvlText w:val="%1)"/>
      <w:lvlJc w:val="left"/>
      <w:pPr>
        <w:tabs>
          <w:tab w:val="left" w:pos="0"/>
        </w:tabs>
        <w:ind w:left="720" w:leftChars="0" w:hanging="357" w:firstLineChars="0"/>
      </w:pPr>
      <w:rPr>
        <w:rFonts w:hint="eastAsia" w:ascii="宋体" w:hAnsi="宋体" w:eastAsia="宋体" w:cs="宋体"/>
        <w:sz w:val="15"/>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8E5FA88C"/>
    <w:multiLevelType w:val="multilevel"/>
    <w:tmpl w:val="8E5FA88C"/>
    <w:lvl w:ilvl="0" w:tentative="0">
      <w:start w:val="1"/>
      <w:numFmt w:val="none"/>
      <w:pStyle w:val="104"/>
      <w:suff w:val="nothing"/>
      <w:lvlText w:val="示例："/>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94D5202F"/>
    <w:multiLevelType w:val="multilevel"/>
    <w:tmpl w:val="94D5202F"/>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
    <w:nsid w:val="9D7A597C"/>
    <w:multiLevelType w:val="multilevel"/>
    <w:tmpl w:val="9D7A597C"/>
    <w:lvl w:ilvl="0" w:tentative="0">
      <w:start w:val="1"/>
      <w:numFmt w:val="upperLetter"/>
      <w:pStyle w:val="101"/>
      <w:lvlText w:val="%1"/>
      <w:lvlJc w:val="left"/>
      <w:pPr>
        <w:tabs>
          <w:tab w:val="left" w:pos="0"/>
        </w:tabs>
        <w:ind w:left="0" w:leftChars="0" w:firstLine="0" w:firstLineChars="0"/>
      </w:pPr>
      <w:rPr>
        <w:rFonts w:hint="default"/>
      </w:rPr>
    </w:lvl>
    <w:lvl w:ilvl="1" w:tentative="0">
      <w:start w:val="1"/>
      <w:numFmt w:val="decimal"/>
      <w:pStyle w:val="102"/>
      <w:suff w:val="nothing"/>
      <w:lvlText w:val="表%1.%2　"/>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
    <w:nsid w:val="A25DE063"/>
    <w:multiLevelType w:val="multilevel"/>
    <w:tmpl w:val="A25DE063"/>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pStyle w:val="2"/>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5">
    <w:nsid w:val="B10FCF18"/>
    <w:multiLevelType w:val="multilevel"/>
    <w:tmpl w:val="B10FCF18"/>
    <w:lvl w:ilvl="0" w:tentative="0">
      <w:start w:val="1"/>
      <w:numFmt w:val="upperLetter"/>
      <w:pStyle w:val="88"/>
      <w:suff w:val="nothing"/>
      <w:lvlText w:val="附录%1"/>
      <w:lvlJc w:val="left"/>
      <w:pPr>
        <w:ind w:left="0" w:leftChars="0" w:firstLine="0" w:firstLineChars="0"/>
      </w:pPr>
      <w:rPr>
        <w:rFonts w:hint="default"/>
        <w:spacing w:val="102"/>
      </w:rPr>
    </w:lvl>
    <w:lvl w:ilvl="1" w:tentative="0">
      <w:start w:val="1"/>
      <w:numFmt w:val="decimal"/>
      <w:pStyle w:val="89"/>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90"/>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91"/>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92"/>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93"/>
      <w:suff w:val="nothing"/>
      <w:lvlText w:val="%1.%2.%3.%4.%5.%6　"/>
      <w:lvlJc w:val="left"/>
      <w:pPr>
        <w:ind w:left="0" w:leftChars="0" w:firstLine="0" w:firstLineChars="0"/>
      </w:pPr>
      <w:rPr>
        <w:rFonts w:hint="default" w:ascii="黑体" w:hAnsi="黑体" w:eastAsia="黑体" w:cs="黑体"/>
        <w:sz w:val="20"/>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B81AD131"/>
    <w:multiLevelType w:val="multilevel"/>
    <w:tmpl w:val="B81AD131"/>
    <w:lvl w:ilvl="0" w:tentative="0">
      <w:start w:val="1"/>
      <w:numFmt w:val="decimal"/>
      <w:pStyle w:val="105"/>
      <w:suff w:val="nothing"/>
      <w:lvlText w:val="示例%1："/>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7">
    <w:nsid w:val="B8A74BE0"/>
    <w:multiLevelType w:val="multilevel"/>
    <w:tmpl w:val="B8A74BE0"/>
    <w:lvl w:ilvl="0" w:tentative="0">
      <w:start w:val="1"/>
      <w:numFmt w:val="decimal"/>
      <w:pStyle w:val="113"/>
      <w:suff w:val="nothing"/>
      <w:lvlText w:val="表%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8">
    <w:nsid w:val="B8E5CF2A"/>
    <w:multiLevelType w:val="multilevel"/>
    <w:tmpl w:val="B8E5CF2A"/>
    <w:lvl w:ilvl="0" w:tentative="0">
      <w:start w:val="1"/>
      <w:numFmt w:val="lowerLetter"/>
      <w:pStyle w:val="60"/>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pStyle w:val="61"/>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pStyle w:val="59"/>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9">
    <w:nsid w:val="FFE7951A"/>
    <w:multiLevelType w:val="multilevel"/>
    <w:tmpl w:val="FFE7951A"/>
    <w:lvl w:ilvl="0" w:tentative="0">
      <w:start w:val="1"/>
      <w:numFmt w:val="decimal"/>
      <w:pStyle w:val="72"/>
      <w:suff w:val="nothing"/>
      <w:lvlText w:val="%1　"/>
      <w:lvlJc w:val="left"/>
      <w:pPr>
        <w:ind w:left="0" w:leftChars="0" w:firstLine="0" w:firstLineChars="0"/>
      </w:pPr>
      <w:rPr>
        <w:rFonts w:hint="default" w:ascii="黑体" w:hAnsi="黑体" w:eastAsia="黑体" w:cs="黑体"/>
        <w:sz w:val="20"/>
      </w:rPr>
    </w:lvl>
    <w:lvl w:ilvl="1" w:tentative="0">
      <w:start w:val="1"/>
      <w:numFmt w:val="decimal"/>
      <w:pStyle w:val="73"/>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74"/>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75"/>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76"/>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77"/>
      <w:suff w:val="nothing"/>
      <w:lvlText w:val="%1.%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0">
    <w:nsid w:val="0C10172D"/>
    <w:multiLevelType w:val="multilevel"/>
    <w:tmpl w:val="0C10172D"/>
    <w:lvl w:ilvl="0" w:tentative="0">
      <w:start w:val="1"/>
      <w:numFmt w:val="decimal"/>
      <w:pStyle w:val="114"/>
      <w:suff w:val="nothing"/>
      <w:lvlText w:val="图%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1">
    <w:nsid w:val="143A7026"/>
    <w:multiLevelType w:val="multilevel"/>
    <w:tmpl w:val="143A7026"/>
    <w:lvl w:ilvl="0" w:tentative="0">
      <w:start w:val="1"/>
      <w:numFmt w:val="decimal"/>
      <w:pStyle w:val="107"/>
      <w:suff w:val="nothing"/>
      <w:lvlText w:val="注%1："/>
      <w:lvlJc w:val="left"/>
      <w:pPr>
        <w:tabs>
          <w:tab w:val="left" w:pos="539"/>
        </w:tabs>
        <w:ind w:left="811" w:leftChars="0" w:hanging="448"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2">
    <w:nsid w:val="1FFDD028"/>
    <w:multiLevelType w:val="multilevel"/>
    <w:tmpl w:val="1FFDD028"/>
    <w:lvl w:ilvl="0" w:tentative="0">
      <w:start w:val="1"/>
      <w:numFmt w:val="lowerLetter"/>
      <w:pStyle w:val="108"/>
      <w:lvlText w:val="%1"/>
      <w:lvlJc w:val="left"/>
      <w:pPr>
        <w:tabs>
          <w:tab w:val="left" w:pos="539"/>
        </w:tabs>
        <w:ind w:left="539" w:leftChars="0" w:hanging="119" w:firstLineChars="0"/>
      </w:pPr>
      <w:rPr>
        <w:rFonts w:hint="eastAsia" w:ascii="宋体" w:hAnsi="宋体" w:eastAsia="宋体" w:cs="宋体"/>
        <w:sz w:val="15"/>
        <w:vertAlign w:val="superscript"/>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3">
    <w:nsid w:val="2FD2152A"/>
    <w:multiLevelType w:val="multilevel"/>
    <w:tmpl w:val="2FD2152A"/>
    <w:lvl w:ilvl="0" w:tentative="0">
      <w:start w:val="1"/>
      <w:numFmt w:val="decimal"/>
      <w:pStyle w:val="119"/>
      <w:suff w:val="nothing"/>
      <w:lvlText w:val="[%1]  "/>
      <w:lvlJc w:val="left"/>
      <w:pPr>
        <w:ind w:left="0" w:leftChars="0" w:firstLine="363" w:firstLineChars="0"/>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4">
    <w:nsid w:val="466D2148"/>
    <w:multiLevelType w:val="multilevel"/>
    <w:tmpl w:val="466D2148"/>
    <w:lvl w:ilvl="0" w:tentative="0">
      <w:start w:val="1"/>
      <w:numFmt w:val="none"/>
      <w:pStyle w:val="106"/>
      <w:suff w:val="nothing"/>
      <w:lvlText w:val="注："/>
      <w:lvlJc w:val="left"/>
      <w:pPr>
        <w:tabs>
          <w:tab w:val="left" w:pos="539"/>
        </w:tabs>
        <w:ind w:left="737" w:leftChars="0" w:hanging="374"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5">
    <w:nsid w:val="65134CA5"/>
    <w:multiLevelType w:val="multilevel"/>
    <w:tmpl w:val="65134CA5"/>
    <w:lvl w:ilvl="0" w:tentative="0">
      <w:start w:val="1"/>
      <w:numFmt w:val="none"/>
      <w:pStyle w:val="57"/>
      <w:lvlText w:val="%1——"/>
      <w:lvlJc w:val="left"/>
      <w:pPr>
        <w:tabs>
          <w:tab w:val="left" w:pos="851"/>
        </w:tabs>
        <w:ind w:left="851" w:leftChars="0" w:hanging="426" w:firstLineChars="0"/>
      </w:pPr>
      <w:rPr>
        <w:rFonts w:hint="default" w:ascii="Times New Roman" w:hAnsi="Times New Roman" w:eastAsia="宋体" w:cs="Times New Roman"/>
        <w:sz w:val="20"/>
      </w:rPr>
    </w:lvl>
    <w:lvl w:ilvl="1" w:tentative="0">
      <w:start w:val="1"/>
      <w:numFmt w:val="bullet"/>
      <w:pStyle w:val="58"/>
      <w:lvlText w:val=""/>
      <w:lvlJc w:val="left"/>
      <w:pPr>
        <w:tabs>
          <w:tab w:val="left" w:pos="851"/>
        </w:tabs>
        <w:ind w:left="1270" w:leftChars="0" w:hanging="419" w:firstLineChars="0"/>
      </w:pPr>
      <w:rPr>
        <w:rFonts w:hint="default" w:ascii="Symbol" w:hAnsi="Symbol" w:eastAsia="宋体" w:cs="Symbol"/>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6">
    <w:nsid w:val="6CA068B0"/>
    <w:multiLevelType w:val="multilevel"/>
    <w:tmpl w:val="6CA068B0"/>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7">
    <w:nsid w:val="7F11E744"/>
    <w:multiLevelType w:val="multilevel"/>
    <w:tmpl w:val="7F11E744"/>
    <w:lvl w:ilvl="0" w:tentative="0">
      <w:start w:val="1"/>
      <w:numFmt w:val="upperLetter"/>
      <w:pStyle w:val="99"/>
      <w:lvlText w:val="%1"/>
      <w:lvlJc w:val="left"/>
      <w:pPr>
        <w:tabs>
          <w:tab w:val="left" w:pos="0"/>
        </w:tabs>
        <w:ind w:left="0" w:leftChars="0" w:firstLine="0" w:firstLineChars="0"/>
      </w:pPr>
      <w:rPr>
        <w:rFonts w:hint="default"/>
      </w:rPr>
    </w:lvl>
    <w:lvl w:ilvl="1" w:tentative="0">
      <w:start w:val="1"/>
      <w:numFmt w:val="decimal"/>
      <w:pStyle w:val="100"/>
      <w:suff w:val="nothing"/>
      <w:lvlText w:val="图%1.%2　"/>
      <w:lvlJc w:val="left"/>
      <w:pPr>
        <w:ind w:left="0" w:leftChars="0" w:firstLine="0" w:firstLineChars="0"/>
      </w:pPr>
      <w:rPr>
        <w:rFonts w:hint="default"/>
      </w:rPr>
    </w:lvl>
    <w:lvl w:ilvl="2" w:tentative="0">
      <w:start w:val="1"/>
      <w:numFmt w:val="decimal"/>
      <w:pStyle w:val="3"/>
      <w:lvlText w:val="%1.%2.%3."/>
      <w:lvlJc w:val="left"/>
      <w:pPr>
        <w:ind w:left="720" w:hanging="720"/>
      </w:pPr>
      <w:rPr>
        <w:rFonts w:hint="default"/>
      </w:rPr>
    </w:lvl>
    <w:lvl w:ilvl="3" w:tentative="0">
      <w:start w:val="1"/>
      <w:numFmt w:val="decimal"/>
      <w:pStyle w:val="4"/>
      <w:lvlText w:val="%1.%2.%3.%4."/>
      <w:lvlJc w:val="left"/>
      <w:pPr>
        <w:ind w:left="864" w:hanging="864"/>
      </w:pPr>
      <w:rPr>
        <w:rFonts w:hint="default"/>
      </w:rPr>
    </w:lvl>
    <w:lvl w:ilvl="4" w:tentative="0">
      <w:start w:val="1"/>
      <w:numFmt w:val="decimal"/>
      <w:pStyle w:val="5"/>
      <w:lvlText w:val="%1.%2.%3.%4.%5."/>
      <w:lvlJc w:val="left"/>
      <w:pPr>
        <w:ind w:left="1008" w:hanging="1008"/>
      </w:pPr>
      <w:rPr>
        <w:rFonts w:hint="default"/>
      </w:rPr>
    </w:lvl>
    <w:lvl w:ilvl="5" w:tentative="0">
      <w:start w:val="1"/>
      <w:numFmt w:val="decimal"/>
      <w:pStyle w:val="6"/>
      <w:lvlText w:val="%1.%2.%3.%4.%5.%6."/>
      <w:lvlJc w:val="left"/>
      <w:pPr>
        <w:ind w:left="1151" w:hanging="1151"/>
      </w:pPr>
      <w:rPr>
        <w:rFonts w:hint="default"/>
      </w:rPr>
    </w:lvl>
    <w:lvl w:ilvl="6" w:tentative="0">
      <w:start w:val="1"/>
      <w:numFmt w:val="decimal"/>
      <w:pStyle w:val="7"/>
      <w:lvlText w:val="%1.%2.%3.%4.%5.%6.%7."/>
      <w:lvlJc w:val="left"/>
      <w:pPr>
        <w:ind w:left="1296" w:hanging="1296"/>
      </w:pPr>
      <w:rPr>
        <w:rFonts w:hint="default"/>
      </w:rPr>
    </w:lvl>
    <w:lvl w:ilvl="7" w:tentative="0">
      <w:start w:val="1"/>
      <w:numFmt w:val="decimal"/>
      <w:pStyle w:val="8"/>
      <w:lvlText w:val="%1.%2.%3.%4.%5.%6.%7.%8."/>
      <w:lvlJc w:val="left"/>
      <w:pPr>
        <w:ind w:left="1440" w:hanging="1440"/>
      </w:pPr>
      <w:rPr>
        <w:rFonts w:hint="default"/>
      </w:rPr>
    </w:lvl>
    <w:lvl w:ilvl="8" w:tentative="0">
      <w:start w:val="1"/>
      <w:numFmt w:val="decimal"/>
      <w:pStyle w:val="9"/>
      <w:lvlText w:val="%1.%2.%3.%4.%5.%6.%7.%8.%9."/>
      <w:lvlJc w:val="left"/>
      <w:pPr>
        <w:ind w:left="1583" w:hanging="1583"/>
      </w:pPr>
      <w:rPr>
        <w:rFonts w:hint="default"/>
      </w:rPr>
    </w:lvl>
  </w:abstractNum>
  <w:abstractNum w:abstractNumId="18">
    <w:nsid w:val="7F2CC555"/>
    <w:multiLevelType w:val="multilevel"/>
    <w:tmpl w:val="7F2CC555"/>
    <w:lvl w:ilvl="0" w:tentative="0">
      <w:start w:val="1"/>
      <w:numFmt w:val="none"/>
      <w:pStyle w:val="55"/>
      <w:suff w:val="nothing"/>
      <w:lvlText w:val="%1"/>
      <w:lvlJc w:val="left"/>
      <w:pPr>
        <w:ind w:left="425" w:leftChars="0" w:hanging="425" w:firstLineChars="0"/>
      </w:pPr>
      <w:rPr>
        <w:rFonts w:hint="default"/>
      </w:rPr>
    </w:lvl>
    <w:lvl w:ilvl="1" w:tentative="0">
      <w:start w:val="1"/>
      <w:numFmt w:val="decimal"/>
      <w:pStyle w:val="62"/>
      <w:suff w:val="nothing"/>
      <w:lvlText w:val="%10.%2 "/>
      <w:lvlJc w:val="left"/>
      <w:pPr>
        <w:ind w:left="0" w:leftChars="0" w:firstLine="0" w:firstLineChars="0"/>
      </w:pPr>
      <w:rPr>
        <w:rFonts w:hint="default" w:ascii="黑体" w:hAnsi="黑体" w:eastAsia="黑体" w:cs="黑体"/>
        <w:sz w:val="20"/>
      </w:rPr>
    </w:lvl>
    <w:lvl w:ilvl="2" w:tentative="0">
      <w:start w:val="1"/>
      <w:numFmt w:val="decimal"/>
      <w:pStyle w:val="63"/>
      <w:suff w:val="nothing"/>
      <w:lvlText w:val="%10.%2.%3 "/>
      <w:lvlJc w:val="left"/>
      <w:pPr>
        <w:ind w:left="0" w:leftChars="0" w:firstLine="0" w:firstLineChars="0"/>
      </w:pPr>
      <w:rPr>
        <w:rFonts w:hint="default" w:ascii="黑体" w:hAnsi="黑体" w:eastAsia="黑体" w:cs="黑体"/>
        <w:sz w:val="20"/>
      </w:rPr>
    </w:lvl>
    <w:lvl w:ilvl="3" w:tentative="0">
      <w:start w:val="1"/>
      <w:numFmt w:val="decimal"/>
      <w:pStyle w:val="64"/>
      <w:suff w:val="nothing"/>
      <w:lvlText w:val="%10.%2.%3.%4 "/>
      <w:lvlJc w:val="left"/>
      <w:pPr>
        <w:ind w:left="0" w:leftChars="0" w:firstLine="0" w:firstLineChars="0"/>
      </w:pPr>
      <w:rPr>
        <w:rFonts w:hint="default" w:ascii="黑体" w:hAnsi="黑体" w:eastAsia="黑体" w:cs="黑体"/>
        <w:sz w:val="20"/>
      </w:rPr>
    </w:lvl>
    <w:lvl w:ilvl="4" w:tentative="0">
      <w:start w:val="1"/>
      <w:numFmt w:val="decimal"/>
      <w:pStyle w:val="65"/>
      <w:suff w:val="nothing"/>
      <w:lvlText w:val="%10.%2.%3.%4.%5 "/>
      <w:lvlJc w:val="left"/>
      <w:pPr>
        <w:ind w:left="0" w:leftChars="0" w:firstLine="0" w:firstLineChars="0"/>
      </w:pPr>
      <w:rPr>
        <w:rFonts w:hint="default" w:ascii="黑体" w:hAnsi="黑体" w:eastAsia="黑体" w:cs="黑体"/>
        <w:sz w:val="20"/>
      </w:rPr>
    </w:lvl>
    <w:lvl w:ilvl="5" w:tentative="0">
      <w:start w:val="1"/>
      <w:numFmt w:val="decimal"/>
      <w:pStyle w:val="66"/>
      <w:suff w:val="nothing"/>
      <w:lvlText w:val="%10.%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4"/>
  </w:num>
  <w:num w:numId="2">
    <w:abstractNumId w:val="17"/>
  </w:num>
  <w:num w:numId="3">
    <w:abstractNumId w:val="0"/>
  </w:num>
  <w:num w:numId="4">
    <w:abstractNumId w:val="18"/>
  </w:num>
  <w:num w:numId="5">
    <w:abstractNumId w:val="15"/>
  </w:num>
  <w:num w:numId="6">
    <w:abstractNumId w:val="8"/>
  </w:num>
  <w:num w:numId="7">
    <w:abstractNumId w:val="9"/>
  </w:num>
  <w:num w:numId="8">
    <w:abstractNumId w:val="5"/>
  </w:num>
  <w:num w:numId="9">
    <w:abstractNumId w:val="3"/>
  </w:num>
  <w:num w:numId="10">
    <w:abstractNumId w:val="1"/>
  </w:num>
  <w:num w:numId="11">
    <w:abstractNumId w:val="6"/>
  </w:num>
  <w:num w:numId="12">
    <w:abstractNumId w:val="14"/>
  </w:num>
  <w:num w:numId="13">
    <w:abstractNumId w:val="11"/>
  </w:num>
  <w:num w:numId="14">
    <w:abstractNumId w:val="12"/>
  </w:num>
  <w:num w:numId="15">
    <w:abstractNumId w:val="7"/>
  </w:num>
  <w:num w:numId="16">
    <w:abstractNumId w:val="10"/>
  </w:num>
  <w:num w:numId="17">
    <w:abstractNumId w:val="13"/>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kMmExYmZhN2JmZmFhNmZjYmQ1NTdhYTlhNTQ5OGQifQ=="/>
  </w:docVars>
  <w:rsids>
    <w:rsidRoot w:val="00000000"/>
    <w:rsid w:val="00A42231"/>
    <w:rsid w:val="01881162"/>
    <w:rsid w:val="01C20BC1"/>
    <w:rsid w:val="02FA25DD"/>
    <w:rsid w:val="0337738D"/>
    <w:rsid w:val="043B4C5B"/>
    <w:rsid w:val="04C64950"/>
    <w:rsid w:val="05551D4C"/>
    <w:rsid w:val="059907BF"/>
    <w:rsid w:val="05A276A6"/>
    <w:rsid w:val="087245E9"/>
    <w:rsid w:val="0B6E5916"/>
    <w:rsid w:val="0D5525EB"/>
    <w:rsid w:val="0D945ED5"/>
    <w:rsid w:val="0EAB569D"/>
    <w:rsid w:val="0F763BEA"/>
    <w:rsid w:val="11A227BD"/>
    <w:rsid w:val="11E608FC"/>
    <w:rsid w:val="125C0F89"/>
    <w:rsid w:val="13CC58CF"/>
    <w:rsid w:val="13D604FC"/>
    <w:rsid w:val="13E26EA1"/>
    <w:rsid w:val="1406396D"/>
    <w:rsid w:val="14630B1C"/>
    <w:rsid w:val="14A979BF"/>
    <w:rsid w:val="159348F7"/>
    <w:rsid w:val="15A32E23"/>
    <w:rsid w:val="164200CB"/>
    <w:rsid w:val="173F534E"/>
    <w:rsid w:val="17814E9E"/>
    <w:rsid w:val="1790646C"/>
    <w:rsid w:val="17C43F85"/>
    <w:rsid w:val="18230A09"/>
    <w:rsid w:val="1864053E"/>
    <w:rsid w:val="18C13529"/>
    <w:rsid w:val="18D56FD4"/>
    <w:rsid w:val="19DF45AE"/>
    <w:rsid w:val="1A1409D8"/>
    <w:rsid w:val="1A3252CA"/>
    <w:rsid w:val="1AE4385E"/>
    <w:rsid w:val="1B481CDF"/>
    <w:rsid w:val="1BA70DEF"/>
    <w:rsid w:val="1BF749E5"/>
    <w:rsid w:val="1C216279"/>
    <w:rsid w:val="1CF801A3"/>
    <w:rsid w:val="1D1F4CC2"/>
    <w:rsid w:val="1E151FA0"/>
    <w:rsid w:val="1E9F37D7"/>
    <w:rsid w:val="1F615BEE"/>
    <w:rsid w:val="20542ED4"/>
    <w:rsid w:val="20A57BD4"/>
    <w:rsid w:val="214F342D"/>
    <w:rsid w:val="22C70AFF"/>
    <w:rsid w:val="22CA0673"/>
    <w:rsid w:val="23641680"/>
    <w:rsid w:val="242F6132"/>
    <w:rsid w:val="24820A5F"/>
    <w:rsid w:val="26BD0B9F"/>
    <w:rsid w:val="26C03072"/>
    <w:rsid w:val="276B56D3"/>
    <w:rsid w:val="28321D4D"/>
    <w:rsid w:val="28565948"/>
    <w:rsid w:val="296A3769"/>
    <w:rsid w:val="2993646E"/>
    <w:rsid w:val="2A1536D4"/>
    <w:rsid w:val="2AC71A3C"/>
    <w:rsid w:val="2B6761B2"/>
    <w:rsid w:val="2CC20AA4"/>
    <w:rsid w:val="2CDF7FCA"/>
    <w:rsid w:val="2DF6381D"/>
    <w:rsid w:val="2E2760CC"/>
    <w:rsid w:val="2EB639C3"/>
    <w:rsid w:val="2F3F2FA2"/>
    <w:rsid w:val="2FAE1E2C"/>
    <w:rsid w:val="304C6337"/>
    <w:rsid w:val="31107D38"/>
    <w:rsid w:val="312B1A2F"/>
    <w:rsid w:val="326861D7"/>
    <w:rsid w:val="32CB32FF"/>
    <w:rsid w:val="33631954"/>
    <w:rsid w:val="33E660E2"/>
    <w:rsid w:val="36920E71"/>
    <w:rsid w:val="369C4F59"/>
    <w:rsid w:val="36B058B7"/>
    <w:rsid w:val="372A2DB3"/>
    <w:rsid w:val="37E670F2"/>
    <w:rsid w:val="382D399B"/>
    <w:rsid w:val="391912F5"/>
    <w:rsid w:val="39304DDE"/>
    <w:rsid w:val="3AD62A0C"/>
    <w:rsid w:val="3B322E16"/>
    <w:rsid w:val="3B3522EE"/>
    <w:rsid w:val="3BF03938"/>
    <w:rsid w:val="3DC01751"/>
    <w:rsid w:val="3FA532F5"/>
    <w:rsid w:val="3FC20C48"/>
    <w:rsid w:val="40632F94"/>
    <w:rsid w:val="408832BA"/>
    <w:rsid w:val="40B350BC"/>
    <w:rsid w:val="41214BFD"/>
    <w:rsid w:val="412C6278"/>
    <w:rsid w:val="42D00689"/>
    <w:rsid w:val="43100201"/>
    <w:rsid w:val="443C19D5"/>
    <w:rsid w:val="46295027"/>
    <w:rsid w:val="464771DD"/>
    <w:rsid w:val="473860EE"/>
    <w:rsid w:val="488934BB"/>
    <w:rsid w:val="48D7650F"/>
    <w:rsid w:val="4A3C3348"/>
    <w:rsid w:val="4A510301"/>
    <w:rsid w:val="4B895B6B"/>
    <w:rsid w:val="4BE11211"/>
    <w:rsid w:val="4C0F5D7E"/>
    <w:rsid w:val="4C7D139E"/>
    <w:rsid w:val="4CB86415"/>
    <w:rsid w:val="4D31441A"/>
    <w:rsid w:val="4E4740FD"/>
    <w:rsid w:val="4E510A45"/>
    <w:rsid w:val="4E63478B"/>
    <w:rsid w:val="4EA12ED9"/>
    <w:rsid w:val="4F027D48"/>
    <w:rsid w:val="50EF43D0"/>
    <w:rsid w:val="50F47C38"/>
    <w:rsid w:val="52B038B1"/>
    <w:rsid w:val="5327255C"/>
    <w:rsid w:val="53E41D23"/>
    <w:rsid w:val="53F653C4"/>
    <w:rsid w:val="545F2DA6"/>
    <w:rsid w:val="54880DC3"/>
    <w:rsid w:val="549642DC"/>
    <w:rsid w:val="55CE3822"/>
    <w:rsid w:val="561C4BD2"/>
    <w:rsid w:val="578457C8"/>
    <w:rsid w:val="584F1F9C"/>
    <w:rsid w:val="58C425E6"/>
    <w:rsid w:val="59260BAB"/>
    <w:rsid w:val="5A745969"/>
    <w:rsid w:val="5A76346C"/>
    <w:rsid w:val="5B1C2265"/>
    <w:rsid w:val="5B527A35"/>
    <w:rsid w:val="5BB232F6"/>
    <w:rsid w:val="5C2607F1"/>
    <w:rsid w:val="5D027239"/>
    <w:rsid w:val="5D995DEF"/>
    <w:rsid w:val="5F261328"/>
    <w:rsid w:val="610A4271"/>
    <w:rsid w:val="612C0D28"/>
    <w:rsid w:val="615711F9"/>
    <w:rsid w:val="628801C5"/>
    <w:rsid w:val="639C03E7"/>
    <w:rsid w:val="63AD0333"/>
    <w:rsid w:val="640B731B"/>
    <w:rsid w:val="658A2DA2"/>
    <w:rsid w:val="65FF4C5D"/>
    <w:rsid w:val="66652F23"/>
    <w:rsid w:val="667016B7"/>
    <w:rsid w:val="6759039D"/>
    <w:rsid w:val="67915D89"/>
    <w:rsid w:val="6AF91C7B"/>
    <w:rsid w:val="6D92539D"/>
    <w:rsid w:val="6E0472B5"/>
    <w:rsid w:val="6F8519A0"/>
    <w:rsid w:val="70E46F2A"/>
    <w:rsid w:val="70FF6BDC"/>
    <w:rsid w:val="737427E7"/>
    <w:rsid w:val="74463A57"/>
    <w:rsid w:val="74574257"/>
    <w:rsid w:val="7475039B"/>
    <w:rsid w:val="76437EDE"/>
    <w:rsid w:val="76CD220E"/>
    <w:rsid w:val="77375F09"/>
    <w:rsid w:val="77824E57"/>
    <w:rsid w:val="78852DA0"/>
    <w:rsid w:val="793F73F3"/>
    <w:rsid w:val="79A61220"/>
    <w:rsid w:val="7A545EAC"/>
    <w:rsid w:val="7A660540"/>
    <w:rsid w:val="7B212C13"/>
    <w:rsid w:val="7C7317AE"/>
    <w:rsid w:val="7CBE0F77"/>
    <w:rsid w:val="7CD7543F"/>
    <w:rsid w:val="7CE442C4"/>
    <w:rsid w:val="7D2E7EAA"/>
    <w:rsid w:val="7D621902"/>
    <w:rsid w:val="7D7960C7"/>
    <w:rsid w:val="7E612D23"/>
    <w:rsid w:val="7F1D1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宋体" w:hAnsi="Times New Roman" w:eastAsia="宋体" w:cs="宋体"/>
      <w:kern w:val="2"/>
      <w:sz w:val="21"/>
      <w:szCs w:val="24"/>
      <w:lang w:val="en-US" w:eastAsia="zh-CN" w:bidi="ar-SA"/>
    </w:rPr>
  </w:style>
  <w:style w:type="paragraph" w:styleId="2">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b/>
      <w:sz w:val="32"/>
    </w:rPr>
  </w:style>
  <w:style w:type="paragraph" w:styleId="3">
    <w:name w:val="heading 3"/>
    <w:basedOn w:val="1"/>
    <w:next w:val="1"/>
    <w:semiHidden/>
    <w:unhideWhenUsed/>
    <w:qFormat/>
    <w:uiPriority w:val="0"/>
    <w:pPr>
      <w:keepNext/>
      <w:keepLines/>
      <w:numPr>
        <w:ilvl w:val="2"/>
        <w:numId w:val="2"/>
      </w:numPr>
      <w:spacing w:before="260" w:beforeLines="0" w:beforeAutospacing="0" w:after="260" w:afterLines="0" w:afterAutospacing="0" w:line="413" w:lineRule="auto"/>
      <w:ind w:left="720" w:hanging="720"/>
      <w:outlineLvl w:val="2"/>
    </w:pPr>
    <w:rPr>
      <w:b/>
      <w:sz w:val="32"/>
    </w:rPr>
  </w:style>
  <w:style w:type="paragraph" w:styleId="4">
    <w:name w:val="heading 4"/>
    <w:basedOn w:val="1"/>
    <w:next w:val="1"/>
    <w:semiHidden/>
    <w:unhideWhenUsed/>
    <w:qFormat/>
    <w:uiPriority w:val="0"/>
    <w:pPr>
      <w:keepNext/>
      <w:keepLines/>
      <w:numPr>
        <w:ilvl w:val="3"/>
        <w:numId w:val="2"/>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5">
    <w:name w:val="heading 5"/>
    <w:basedOn w:val="1"/>
    <w:next w:val="1"/>
    <w:semiHidden/>
    <w:unhideWhenUsed/>
    <w:qFormat/>
    <w:uiPriority w:val="0"/>
    <w:pPr>
      <w:keepNext/>
      <w:keepLines/>
      <w:numPr>
        <w:ilvl w:val="4"/>
        <w:numId w:val="2"/>
      </w:numPr>
      <w:spacing w:before="280" w:beforeLines="0" w:beforeAutospacing="0" w:after="290" w:afterLines="0" w:afterAutospacing="0" w:line="372" w:lineRule="auto"/>
      <w:ind w:left="1008" w:hanging="1008"/>
      <w:outlineLvl w:val="4"/>
    </w:pPr>
    <w:rPr>
      <w:b/>
      <w:sz w:val="28"/>
    </w:rPr>
  </w:style>
  <w:style w:type="paragraph" w:styleId="6">
    <w:name w:val="heading 6"/>
    <w:basedOn w:val="1"/>
    <w:next w:val="1"/>
    <w:semiHidden/>
    <w:unhideWhenUsed/>
    <w:qFormat/>
    <w:uiPriority w:val="0"/>
    <w:pPr>
      <w:keepNext/>
      <w:keepLines/>
      <w:numPr>
        <w:ilvl w:val="5"/>
        <w:numId w:val="2"/>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7">
    <w:name w:val="heading 7"/>
    <w:basedOn w:val="1"/>
    <w:next w:val="1"/>
    <w:semiHidden/>
    <w:unhideWhenUsed/>
    <w:qFormat/>
    <w:uiPriority w:val="0"/>
    <w:pPr>
      <w:keepNext/>
      <w:keepLines/>
      <w:numPr>
        <w:ilvl w:val="6"/>
        <w:numId w:val="2"/>
      </w:numPr>
      <w:spacing w:before="240" w:beforeLines="0" w:beforeAutospacing="0" w:after="64" w:afterLines="0" w:afterAutospacing="0" w:line="317" w:lineRule="auto"/>
      <w:ind w:left="1296" w:hanging="1296"/>
      <w:outlineLvl w:val="6"/>
    </w:pPr>
    <w:rPr>
      <w:b/>
      <w:sz w:val="24"/>
    </w:rPr>
  </w:style>
  <w:style w:type="paragraph" w:styleId="8">
    <w:name w:val="heading 8"/>
    <w:basedOn w:val="1"/>
    <w:next w:val="1"/>
    <w:semiHidden/>
    <w:unhideWhenUsed/>
    <w:qFormat/>
    <w:uiPriority w:val="0"/>
    <w:pPr>
      <w:keepNext/>
      <w:keepLines/>
      <w:numPr>
        <w:ilvl w:val="7"/>
        <w:numId w:val="2"/>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9">
    <w:name w:val="heading 9"/>
    <w:basedOn w:val="1"/>
    <w:next w:val="1"/>
    <w:semiHidden/>
    <w:unhideWhenUsed/>
    <w:qFormat/>
    <w:uiPriority w:val="0"/>
    <w:pPr>
      <w:keepNext/>
      <w:keepLines/>
      <w:numPr>
        <w:ilvl w:val="8"/>
        <w:numId w:val="2"/>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2">
    <w:name w:val="Default Paragraph Font"/>
    <w:semiHidden/>
    <w:qFormat/>
    <w:uiPriority w:val="0"/>
    <w:rPr>
      <w:rFonts w:hint="eastAsia" w:ascii="宋体" w:hAnsi="Times New Roman" w:eastAsia="宋体" w:cs="Times New Roman"/>
      <w:sz w:val="21"/>
    </w:rPr>
  </w:style>
  <w:style w:type="table" w:default="1" w:styleId="20">
    <w:name w:val="Normal Table"/>
    <w:semiHidden/>
    <w:qFormat/>
    <w:uiPriority w:val="0"/>
    <w:tblPr>
      <w:tblCellMar>
        <w:top w:w="0" w:type="dxa"/>
        <w:left w:w="108" w:type="dxa"/>
        <w:bottom w:w="0" w:type="dxa"/>
        <w:right w:w="108" w:type="dxa"/>
      </w:tblCellMar>
    </w:tblPr>
  </w:style>
  <w:style w:type="paragraph" w:styleId="10">
    <w:name w:val="annotation text"/>
    <w:basedOn w:val="1"/>
    <w:qFormat/>
    <w:uiPriority w:val="0"/>
    <w:pPr>
      <w:jc w:val="left"/>
    </w:pPr>
  </w:style>
  <w:style w:type="paragraph" w:styleId="11">
    <w:name w:val="toc 5"/>
    <w:basedOn w:val="1"/>
    <w:next w:val="1"/>
    <w:qFormat/>
    <w:uiPriority w:val="0"/>
    <w:pPr>
      <w:spacing w:line="300" w:lineRule="exact"/>
      <w:ind w:left="1680" w:leftChars="800"/>
    </w:pPr>
    <w:rPr>
      <w:rFonts w:hAnsi="宋体"/>
    </w:rPr>
  </w:style>
  <w:style w:type="paragraph" w:styleId="12">
    <w:name w:val="toc 3"/>
    <w:basedOn w:val="1"/>
    <w:next w:val="1"/>
    <w:qFormat/>
    <w:uiPriority w:val="0"/>
    <w:pPr>
      <w:spacing w:line="300" w:lineRule="exact"/>
      <w:ind w:left="840" w:leftChars="400"/>
    </w:pPr>
    <w:rPr>
      <w:rFonts w:hAnsi="宋体"/>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0"/>
    <w:pPr>
      <w:spacing w:line="400" w:lineRule="exact"/>
    </w:pPr>
    <w:rPr>
      <w:rFonts w:hAnsi="宋体"/>
    </w:rPr>
  </w:style>
  <w:style w:type="paragraph" w:styleId="16">
    <w:name w:val="toc 4"/>
    <w:basedOn w:val="1"/>
    <w:next w:val="1"/>
    <w:qFormat/>
    <w:uiPriority w:val="0"/>
    <w:pPr>
      <w:spacing w:line="300" w:lineRule="exact"/>
      <w:ind w:left="1260" w:leftChars="600"/>
    </w:pPr>
    <w:rPr>
      <w:rFonts w:hAnsi="宋体"/>
    </w:rPr>
  </w:style>
  <w:style w:type="paragraph" w:styleId="17">
    <w:name w:val="footnote text"/>
    <w:basedOn w:val="1"/>
    <w:qFormat/>
    <w:uiPriority w:val="0"/>
    <w:pPr>
      <w:widowControl/>
      <w:numPr>
        <w:ilvl w:val="0"/>
        <w:numId w:val="3"/>
      </w:numPr>
      <w:autoSpaceDE w:val="0"/>
      <w:autoSpaceDN w:val="0"/>
      <w:snapToGrid/>
      <w:spacing w:beforeLines="0" w:afterLines="0"/>
      <w:ind w:left="1380" w:leftChars="200" w:hanging="960" w:hangingChars="200"/>
      <w:jc w:val="both"/>
    </w:pPr>
    <w:rPr>
      <w:rFonts w:hAnsi="宋体"/>
      <w:sz w:val="15"/>
    </w:rPr>
  </w:style>
  <w:style w:type="paragraph" w:styleId="18">
    <w:name w:val="toc 6"/>
    <w:basedOn w:val="1"/>
    <w:next w:val="1"/>
    <w:qFormat/>
    <w:uiPriority w:val="0"/>
    <w:pPr>
      <w:spacing w:line="300" w:lineRule="exact"/>
      <w:ind w:left="2100" w:leftChars="1000"/>
    </w:pPr>
    <w:rPr>
      <w:rFonts w:hAnsi="宋体"/>
    </w:rPr>
  </w:style>
  <w:style w:type="paragraph" w:styleId="19">
    <w:name w:val="toc 2"/>
    <w:basedOn w:val="1"/>
    <w:next w:val="1"/>
    <w:qFormat/>
    <w:uiPriority w:val="0"/>
    <w:pPr>
      <w:spacing w:line="300" w:lineRule="exact"/>
      <w:ind w:left="420" w:leftChars="200"/>
    </w:pPr>
    <w:rPr>
      <w:rFonts w:hAnsi="宋体"/>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annotation reference"/>
    <w:basedOn w:val="22"/>
    <w:qFormat/>
    <w:uiPriority w:val="0"/>
    <w:rPr>
      <w:sz w:val="21"/>
      <w:szCs w:val="21"/>
    </w:rPr>
  </w:style>
  <w:style w:type="character" w:styleId="24">
    <w:name w:val="footnote reference"/>
    <w:basedOn w:val="22"/>
    <w:qFormat/>
    <w:uiPriority w:val="0"/>
    <w:rPr>
      <w:rFonts w:ascii="宋体" w:hAnsi="宋体" w:eastAsia="宋体" w:cs="宋体"/>
      <w:sz w:val="18"/>
      <w:vertAlign w:val="superscript"/>
    </w:rPr>
  </w:style>
  <w:style w:type="paragraph" w:customStyle="1" w:styleId="25">
    <w:name w:val="标准文件_段"/>
    <w:qFormat/>
    <w:uiPriority w:val="0"/>
    <w:pPr>
      <w:spacing w:beforeLines="0" w:afterLines="0"/>
      <w:ind w:firstLine="960" w:firstLineChars="200"/>
      <w:jc w:val="both"/>
    </w:pPr>
    <w:rPr>
      <w:rFonts w:hint="eastAsia" w:ascii="宋体" w:hAnsi="Times New Roman" w:eastAsia="宋体" w:cs="宋体"/>
      <w:sz w:val="21"/>
    </w:rPr>
  </w:style>
  <w:style w:type="paragraph" w:customStyle="1" w:styleId="26">
    <w:name w:val="标准标志"/>
    <w:next w:val="1"/>
    <w:qFormat/>
    <w:uiPriority w:val="0"/>
    <w:pPr>
      <w:framePr w:w="2546" w:h="1134" w:hRule="exact" w:hSpace="181" w:wrap="around" w:vAnchor="margin" w:hAnchor="margin" w:x="6521" w:y="421" w:anchorLock="1"/>
      <w:shd w:val="clear" w:fill="FFFFFF"/>
      <w:spacing w:line="0" w:lineRule="atLeast"/>
      <w:jc w:val="right"/>
    </w:pPr>
    <w:rPr>
      <w:rFonts w:hint="eastAsia" w:ascii="Times New Roman" w:hAnsi="Times New Roman" w:eastAsia="宋体" w:cs="Times New Roman"/>
      <w:b/>
      <w:w w:val="170"/>
      <w:sz w:val="96"/>
    </w:rPr>
  </w:style>
  <w:style w:type="paragraph" w:customStyle="1" w:styleId="27">
    <w:name w:val="标准标志2"/>
    <w:next w:val="1"/>
    <w:qFormat/>
    <w:uiPriority w:val="0"/>
    <w:pPr>
      <w:framePr w:wrap="around" w:vAnchor="margin" w:hAnchor="margin" w:x="5614" w:y="398" w:anchorLock="1"/>
      <w:spacing w:line="0" w:lineRule="atLeast"/>
      <w:jc w:val="right"/>
    </w:pPr>
    <w:rPr>
      <w:rFonts w:hint="eastAsia" w:ascii="Times New Roman" w:hAnsi="Times New Roman" w:eastAsia="宋体" w:cs="Times New Roman"/>
      <w:b/>
      <w:w w:val="130"/>
      <w:sz w:val="96"/>
    </w:rPr>
  </w:style>
  <w:style w:type="paragraph" w:customStyle="1" w:styleId="28">
    <w:name w:val="标准称谓"/>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宋体" w:hAnsi="Times New Roman" w:eastAsia="宋体" w:cs="Times New Roman"/>
      <w:b/>
      <w:w w:val="148"/>
      <w:sz w:val="48"/>
    </w:rPr>
  </w:style>
  <w:style w:type="paragraph" w:customStyle="1" w:styleId="29">
    <w:name w:val="标准称谓2"/>
    <w:next w:val="1"/>
    <w:qFormat/>
    <w:uiPriority w:val="0"/>
    <w:pPr>
      <w:framePr w:w="6781" w:h="907" w:hRule="exact" w:hSpace="181" w:vSpace="181" w:wrap="around" w:vAnchor="page" w:hAnchor="page" w:xAlign="center" w:y="2269" w:anchorLock="1"/>
      <w:widowControl w:val="0"/>
      <w:kinsoku w:val="0"/>
      <w:overflowPunct w:val="0"/>
      <w:autoSpaceDE w:val="0"/>
      <w:autoSpaceDN w:val="0"/>
      <w:spacing w:line="0" w:lineRule="atLeast"/>
      <w:jc w:val="distribute"/>
    </w:pPr>
    <w:rPr>
      <w:rFonts w:hint="eastAsia" w:ascii="Times New Roman" w:hAnsi="Times New Roman" w:eastAsia="黑体" w:cs="Times New Roman"/>
      <w:spacing w:val="-40"/>
      <w:kern w:val="2"/>
      <w:sz w:val="72"/>
      <w:szCs w:val="72"/>
    </w:rPr>
  </w:style>
  <w:style w:type="paragraph" w:customStyle="1" w:styleId="30">
    <w:name w:val="标准称谓3"/>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rPr>
  </w:style>
  <w:style w:type="paragraph" w:customStyle="1" w:styleId="31">
    <w:name w:val="标准书脚_奇数页"/>
    <w:qFormat/>
    <w:uiPriority w:val="0"/>
    <w:pPr>
      <w:ind w:right="227"/>
      <w:jc w:val="right"/>
    </w:pPr>
    <w:rPr>
      <w:rFonts w:hint="eastAsia" w:ascii="宋体" w:hAnsi="Times New Roman" w:eastAsia="宋体" w:cs="宋体"/>
      <w:sz w:val="18"/>
    </w:rPr>
  </w:style>
  <w:style w:type="paragraph" w:customStyle="1" w:styleId="32">
    <w:name w:val="标准书眉_奇数页"/>
    <w:next w:val="1"/>
    <w:qFormat/>
    <w:uiPriority w:val="0"/>
    <w:pPr>
      <w:tabs>
        <w:tab w:val="center" w:pos="4153"/>
        <w:tab w:val="right" w:pos="8306"/>
      </w:tabs>
      <w:spacing w:after="120"/>
      <w:jc w:val="right"/>
    </w:pPr>
    <w:rPr>
      <w:rFonts w:hint="eastAsia" w:ascii="黑体" w:hAnsi="Times New Roman" w:eastAsia="黑体" w:cs="黑体"/>
      <w:sz w:val="21"/>
    </w:rPr>
  </w:style>
  <w:style w:type="paragraph" w:customStyle="1" w:styleId="33">
    <w:name w:val="标准书眉_偶数页"/>
    <w:next w:val="1"/>
    <w:qFormat/>
    <w:uiPriority w:val="0"/>
    <w:pPr>
      <w:spacing w:after="120"/>
    </w:pPr>
    <w:rPr>
      <w:rFonts w:hint="eastAsia" w:ascii="黑体" w:hAnsi="Times New Roman" w:eastAsia="黑体" w:cs="黑体"/>
      <w:sz w:val="21"/>
    </w:rPr>
  </w:style>
  <w:style w:type="paragraph" w:customStyle="1" w:styleId="34">
    <w:name w:val="标准文件_参考文献标题"/>
    <w:basedOn w:val="1"/>
    <w:next w:val="1"/>
    <w:qFormat/>
    <w:uiPriority w:val="0"/>
    <w:pPr>
      <w:widowControl/>
      <w:spacing w:before="126" w:beforeLines="40" w:after="157" w:afterLines="50"/>
      <w:jc w:val="center"/>
      <w:outlineLvl w:val="0"/>
    </w:pPr>
    <w:rPr>
      <w:rFonts w:ascii="黑体" w:hAnsi="Times New Roman" w:eastAsia="黑体" w:cs="黑体"/>
      <w:kern w:val="0"/>
    </w:rPr>
  </w:style>
  <w:style w:type="paragraph" w:customStyle="1" w:styleId="35">
    <w:name w:val="封面标准顶部线"/>
    <w:qFormat/>
    <w:uiPriority w:val="0"/>
    <w:pPr>
      <w:framePr w:w="9673" w:hSpace="181" w:wrap="around" w:vAnchor="page" w:hAnchor="page" w:x="1390" w:y="4242"/>
      <w:spacing w:line="0" w:lineRule="atLeast"/>
    </w:pPr>
    <w:rPr>
      <w:rFonts w:hint="eastAsia" w:ascii="宋体" w:hAnsi="Times New Roman" w:eastAsia="宋体" w:cs="Times New Roman"/>
      <w:sz w:val="21"/>
    </w:rPr>
  </w:style>
  <w:style w:type="paragraph" w:customStyle="1" w:styleId="36">
    <w:name w:val="发布部门"/>
    <w:next w:val="25"/>
    <w:qFormat/>
    <w:uiPriority w:val="0"/>
    <w:pPr>
      <w:framePr w:w="7938" w:h="1134" w:hRule="exact" w:hSpace="125" w:vSpace="181" w:wrap="around" w:vAnchor="page" w:hAnchor="page" w:x="2150" w:y="14630" w:anchorLock="1"/>
      <w:spacing w:before="100"/>
      <w:jc w:val="center"/>
    </w:pPr>
    <w:rPr>
      <w:rFonts w:hint="eastAsia" w:ascii="宋体" w:hAnsi="Times New Roman" w:eastAsia="宋体" w:cs="Times New Roman"/>
      <w:spacing w:val="20"/>
      <w:w w:val="135"/>
      <w:sz w:val="28"/>
    </w:rPr>
  </w:style>
  <w:style w:type="paragraph" w:customStyle="1" w:styleId="37">
    <w:name w:val="发布日期"/>
    <w:qFormat/>
    <w:uiPriority w:val="0"/>
    <w:pPr>
      <w:framePr w:w="3997" w:h="471" w:hRule="exact" w:hSpace="181" w:vSpace="181" w:wrap="around" w:vAnchor="margin" w:hAnchor="page" w:y="14080" w:anchorLock="1"/>
      <w:spacing w:line="360" w:lineRule="exact"/>
    </w:pPr>
    <w:rPr>
      <w:rFonts w:hint="eastAsia" w:ascii="黑体" w:hAnsi="Times New Roman" w:eastAsia="黑体" w:cs="Times New Roman"/>
      <w:sz w:val="28"/>
    </w:rPr>
  </w:style>
  <w:style w:type="paragraph" w:customStyle="1" w:styleId="38">
    <w:name w:val="实施日期"/>
    <w:basedOn w:val="37"/>
    <w:qFormat/>
    <w:uiPriority w:val="0"/>
    <w:pPr>
      <w:framePr w:hSpace="0" w:wrap="around" w:vAnchor="page" w:hAnchor="page" w:x="7089" w:y="14176"/>
      <w:jc w:val="right"/>
    </w:pPr>
  </w:style>
  <w:style w:type="paragraph" w:customStyle="1" w:styleId="39">
    <w:name w:val="封面日期"/>
    <w:qFormat/>
    <w:uiPriority w:val="0"/>
    <w:pPr>
      <w:framePr w:w="9673" w:vSpace="181" w:wrap="around" w:vAnchor="page" w:hAnchor="page" w:x="1419" w:y="14176" w:anchorLock="1"/>
      <w:spacing w:line="360" w:lineRule="exact"/>
    </w:pPr>
    <w:rPr>
      <w:rFonts w:hint="eastAsia" w:ascii="黑体" w:hAnsi="Times New Roman" w:eastAsia="黑体" w:cs="Times New Roman"/>
      <w:sz w:val="28"/>
    </w:rPr>
  </w:style>
  <w:style w:type="paragraph" w:customStyle="1" w:styleId="40">
    <w:name w:val="封面标准代替信息"/>
    <w:qFormat/>
    <w:uiPriority w:val="0"/>
    <w:pPr>
      <w:framePr w:w="9355" w:h="624" w:hRule="exact" w:hSpace="181" w:vSpace="181" w:wrap="around" w:vAnchor="page" w:hAnchor="page" w:x="1419" w:y="3284"/>
      <w:spacing w:before="57" w:line="280" w:lineRule="exact"/>
      <w:jc w:val="right"/>
    </w:pPr>
    <w:rPr>
      <w:rFonts w:hint="eastAsia" w:ascii="黑体" w:hAnsi="Times New Roman" w:eastAsia="黑体" w:cs="Times New Roman"/>
      <w:sz w:val="21"/>
    </w:rPr>
  </w:style>
  <w:style w:type="paragraph" w:customStyle="1" w:styleId="41">
    <w:name w:val="封面标准号2"/>
    <w:qFormat/>
    <w:uiPriority w:val="0"/>
    <w:pPr>
      <w:framePr w:w="9355" w:h="624" w:hRule="exact" w:hSpace="181" w:vSpace="181" w:wrap="around" w:vAnchor="page" w:hAnchor="page" w:x="1419" w:y="3284"/>
      <w:spacing w:line="280" w:lineRule="exact"/>
      <w:jc w:val="right"/>
    </w:pPr>
    <w:rPr>
      <w:rFonts w:hint="eastAsia" w:ascii="黑体" w:hAnsi="Times New Roman" w:eastAsia="黑体" w:cs="Times New Roman"/>
      <w:sz w:val="28"/>
    </w:rPr>
  </w:style>
  <w:style w:type="paragraph" w:customStyle="1" w:styleId="42">
    <w:name w:val="封面标准名称"/>
    <w:qFormat/>
    <w:uiPriority w:val="0"/>
    <w:pPr>
      <w:framePr w:w="9639" w:h="6974" w:hRule="exact" w:wrap="around" w:vAnchor="page" w:hAnchor="page" w:x="1419" w:y="6408"/>
      <w:spacing w:line="700" w:lineRule="exact"/>
      <w:jc w:val="center"/>
    </w:pPr>
    <w:rPr>
      <w:rFonts w:hint="eastAsia" w:ascii="黑体" w:hAnsi="Times New Roman" w:eastAsia="黑体" w:cs="Times New Roman"/>
      <w:sz w:val="52"/>
    </w:rPr>
  </w:style>
  <w:style w:type="paragraph" w:customStyle="1" w:styleId="43">
    <w:name w:val="封面标准英文名称"/>
    <w:basedOn w:val="42"/>
    <w:qFormat/>
    <w:uiPriority w:val="0"/>
    <w:pPr>
      <w:widowControl w:val="0"/>
      <w:spacing w:before="410" w:line="360" w:lineRule="exact"/>
      <w:textAlignment w:val="bottom"/>
    </w:pPr>
    <w:rPr>
      <w:rFonts w:ascii="Times New Roman" w:hAnsi="Times New Roman" w:cs="Times New Roman"/>
      <w:sz w:val="28"/>
    </w:rPr>
  </w:style>
  <w:style w:type="paragraph" w:customStyle="1" w:styleId="44">
    <w:name w:val="封面一致性程度标识"/>
    <w:basedOn w:val="43"/>
    <w:qFormat/>
    <w:uiPriority w:val="0"/>
    <w:pPr>
      <w:spacing w:before="760"/>
    </w:pPr>
  </w:style>
  <w:style w:type="paragraph" w:customStyle="1" w:styleId="45">
    <w:name w:val="封面标准文稿类别"/>
    <w:basedOn w:val="44"/>
    <w:qFormat/>
    <w:uiPriority w:val="0"/>
    <w:pPr>
      <w:spacing w:before="440" w:after="160"/>
    </w:pPr>
    <w:rPr>
      <w:rFonts w:ascii="黑体" w:hAnsi="黑体" w:cs="黑体"/>
      <w:sz w:val="24"/>
    </w:rPr>
  </w:style>
  <w:style w:type="paragraph" w:customStyle="1" w:styleId="46">
    <w:name w:val="封面标准文稿编辑信息"/>
    <w:basedOn w:val="45"/>
    <w:qFormat/>
    <w:uiPriority w:val="0"/>
    <w:pPr>
      <w:spacing w:before="180" w:after="0" w:line="240" w:lineRule="atLeast"/>
    </w:pPr>
    <w:rPr>
      <w:sz w:val="21"/>
    </w:rPr>
  </w:style>
  <w:style w:type="paragraph" w:customStyle="1" w:styleId="47">
    <w:name w:val="封面标准文稿附件"/>
    <w:basedOn w:val="45"/>
    <w:qFormat/>
    <w:uiPriority w:val="0"/>
    <w:pPr>
      <w:spacing w:before="937" w:beforeLines="300" w:after="0" w:afterLines="30" w:line="240" w:lineRule="auto"/>
    </w:pPr>
    <w:rPr>
      <w:rFonts w:ascii="Times New Roman" w:hAnsi="Times New Roman" w:cs="Times New Roman"/>
      <w:b/>
      <w:sz w:val="21"/>
    </w:rPr>
  </w:style>
  <w:style w:type="paragraph" w:customStyle="1" w:styleId="48">
    <w:name w:val="其他发布部门"/>
    <w:basedOn w:val="36"/>
    <w:qFormat/>
    <w:uiPriority w:val="0"/>
    <w:pPr>
      <w:framePr w:wrap="around" w:y="15310"/>
      <w:spacing w:line="0" w:lineRule="atLeast"/>
    </w:pPr>
    <w:rPr>
      <w:rFonts w:ascii="黑体" w:hAnsi="黑体" w:eastAsia="黑体" w:cs="黑体"/>
    </w:rPr>
  </w:style>
  <w:style w:type="paragraph" w:customStyle="1" w:styleId="49">
    <w:name w:val="其他发布部门2"/>
    <w:basedOn w:val="36"/>
    <w:qFormat/>
    <w:uiPriority w:val="0"/>
    <w:pPr>
      <w:framePr w:w="7433" w:h="584" w:hRule="exact" w:hSpace="181" w:wrap="around" w:vAnchor="margin" w:hAnchor="margin" w:xAlign="center" w:y="15027"/>
      <w:spacing w:before="0" w:line="0" w:lineRule="atLeast"/>
    </w:pPr>
    <w:rPr>
      <w:rFonts w:ascii="黑体" w:hAnsi="黑体" w:eastAsia="黑体" w:cs="Times New Roman"/>
      <w:spacing w:val="0"/>
      <w:w w:val="100"/>
    </w:rPr>
  </w:style>
  <w:style w:type="paragraph" w:customStyle="1" w:styleId="50">
    <w:name w:val="其他发布部门3"/>
    <w:qFormat/>
    <w:uiPriority w:val="0"/>
    <w:pPr>
      <w:framePr w:w="9248" w:h="1259" w:hRule="exact" w:hSpace="181" w:vSpace="181" w:wrap="auto" w:vAnchor="margin" w:hAnchor="margin" w:xAlign="center" w:y="14545"/>
      <w:spacing w:line="0" w:lineRule="atLeast"/>
      <w:jc w:val="center"/>
    </w:pPr>
    <w:rPr>
      <w:rFonts w:hint="eastAsia" w:ascii="黑体" w:hAnsi="Times New Roman" w:eastAsia="黑体" w:cs="Times New Roman"/>
      <w:sz w:val="28"/>
    </w:rPr>
  </w:style>
  <w:style w:type="paragraph" w:customStyle="1" w:styleId="51">
    <w:name w:val="其他发布日期"/>
    <w:basedOn w:val="37"/>
    <w:qFormat/>
    <w:uiPriority w:val="0"/>
    <w:pPr>
      <w:framePr w:hSpace="0" w:wrap="around" w:vAnchor="page" w:hAnchor="page" w:x="1419" w:y="14176"/>
    </w:pPr>
  </w:style>
  <w:style w:type="paragraph" w:customStyle="1" w:styleId="52">
    <w:name w:val="其他实施日期"/>
    <w:basedOn w:val="38"/>
    <w:qFormat/>
    <w:uiPriority w:val="0"/>
  </w:style>
  <w:style w:type="paragraph" w:customStyle="1" w:styleId="53">
    <w:name w:val="文献分类号"/>
    <w:qFormat/>
    <w:uiPriority w:val="0"/>
    <w:pPr>
      <w:framePr w:wrap="around" w:vAnchor="page" w:hAnchor="page" w:x="1373" w:y="568"/>
      <w:widowControl w:val="0"/>
      <w:textAlignment w:val="center"/>
    </w:pPr>
    <w:rPr>
      <w:rFonts w:hint="eastAsia" w:ascii="黑体" w:hAnsi="Times New Roman" w:eastAsia="黑体" w:cs="Times New Roman"/>
      <w:kern w:val="21"/>
      <w:sz w:val="21"/>
    </w:rPr>
  </w:style>
  <w:style w:type="paragraph" w:customStyle="1" w:styleId="54">
    <w:name w:val="标准文件_目录标题"/>
    <w:basedOn w:val="1"/>
    <w:qFormat/>
    <w:uiPriority w:val="0"/>
    <w:pPr>
      <w:shd w:val="clear" w:fill="FFFFFF"/>
      <w:spacing w:beforeLines="0" w:after="469" w:afterLines="150"/>
      <w:jc w:val="center"/>
    </w:pPr>
    <w:rPr>
      <w:rFonts w:ascii="黑体" w:hAnsi="Times New Roman" w:eastAsia="黑体" w:cs="黑体"/>
      <w:kern w:val="0"/>
      <w:sz w:val="32"/>
    </w:rPr>
  </w:style>
  <w:style w:type="paragraph" w:customStyle="1" w:styleId="55">
    <w:name w:val="标准文件_前言、引言标题"/>
    <w:next w:val="1"/>
    <w:qFormat/>
    <w:uiPriority w:val="0"/>
    <w:pPr>
      <w:numPr>
        <w:ilvl w:val="0"/>
        <w:numId w:val="4"/>
      </w:numPr>
      <w:suppressAutoHyphens w:val="0"/>
      <w:spacing w:beforeLines="0" w:after="469" w:afterLines="150"/>
      <w:ind w:left="425" w:hanging="425"/>
      <w:jc w:val="center"/>
      <w:outlineLvl w:val="0"/>
    </w:pPr>
    <w:rPr>
      <w:rFonts w:hint="eastAsia" w:ascii="黑体" w:hAnsi="Times New Roman" w:eastAsia="黑体" w:cs="黑体"/>
      <w:sz w:val="32"/>
    </w:rPr>
  </w:style>
  <w:style w:type="paragraph" w:customStyle="1" w:styleId="56">
    <w:name w:val="标准文件_正文标准名称"/>
    <w:basedOn w:val="1"/>
    <w:link w:val="120"/>
    <w:qFormat/>
    <w:uiPriority w:val="0"/>
    <w:pPr>
      <w:widowControl/>
      <w:suppressAutoHyphens w:val="0"/>
      <w:spacing w:beforeLines="0" w:after="640" w:afterLines="0" w:line="400" w:lineRule="exact"/>
      <w:jc w:val="center"/>
    </w:pPr>
    <w:rPr>
      <w:rFonts w:ascii="黑体" w:hAnsi="黑体" w:eastAsia="黑体" w:cs="黑体"/>
      <w:sz w:val="32"/>
    </w:rPr>
  </w:style>
  <w:style w:type="paragraph" w:customStyle="1" w:styleId="57">
    <w:name w:val="标准文件_一级项"/>
    <w:next w:val="25"/>
    <w:qFormat/>
    <w:uiPriority w:val="0"/>
    <w:pPr>
      <w:numPr>
        <w:ilvl w:val="0"/>
        <w:numId w:val="5"/>
      </w:numPr>
      <w:suppressAutoHyphens w:val="0"/>
      <w:spacing w:beforeLines="0" w:afterLines="0"/>
      <w:ind w:left="851" w:hanging="426"/>
    </w:pPr>
    <w:rPr>
      <w:rFonts w:hint="eastAsia" w:ascii="宋体" w:hAnsi="Times New Roman" w:eastAsia="宋体" w:cs="宋体"/>
      <w:sz w:val="21"/>
    </w:rPr>
  </w:style>
  <w:style w:type="paragraph" w:customStyle="1" w:styleId="58">
    <w:name w:val="标准文件_二级项2"/>
    <w:basedOn w:val="25"/>
    <w:next w:val="25"/>
    <w:qFormat/>
    <w:uiPriority w:val="0"/>
    <w:pPr>
      <w:numPr>
        <w:ilvl w:val="1"/>
        <w:numId w:val="5"/>
      </w:numPr>
      <w:suppressAutoHyphens w:val="0"/>
      <w:ind w:left="1270" w:hanging="419"/>
    </w:pPr>
    <w:rPr>
      <w:rFonts w:hAnsi="Times New Roman"/>
    </w:rPr>
  </w:style>
  <w:style w:type="paragraph" w:customStyle="1" w:styleId="59">
    <w:name w:val="标准文件_三级项"/>
    <w:basedOn w:val="1"/>
    <w:next w:val="25"/>
    <w:qFormat/>
    <w:uiPriority w:val="0"/>
    <w:pPr>
      <w:numPr>
        <w:ilvl w:val="2"/>
        <w:numId w:val="6"/>
      </w:numPr>
      <w:suppressAutoHyphens w:val="0"/>
      <w:spacing w:beforeLines="0" w:afterLines="0" w:line="300" w:lineRule="exact"/>
      <w:ind w:left="1678" w:hanging="414"/>
    </w:pPr>
    <w:rPr>
      <w:rFonts w:hAnsi="+西文正文"/>
    </w:rPr>
  </w:style>
  <w:style w:type="paragraph" w:customStyle="1" w:styleId="60">
    <w:name w:val="标准文件_字母编号列项（一级）"/>
    <w:next w:val="25"/>
    <w:qFormat/>
    <w:uiPriority w:val="0"/>
    <w:pPr>
      <w:numPr>
        <w:ilvl w:val="0"/>
        <w:numId w:val="6"/>
      </w:numPr>
      <w:tabs>
        <w:tab w:val="left" w:pos="839"/>
      </w:tabs>
      <w:ind w:left="851" w:hanging="426"/>
      <w:jc w:val="both"/>
    </w:pPr>
    <w:rPr>
      <w:rFonts w:hint="eastAsia" w:ascii="宋体" w:hAnsi="Times New Roman" w:eastAsia="宋体" w:cs="宋体"/>
      <w:sz w:val="21"/>
    </w:rPr>
  </w:style>
  <w:style w:type="paragraph" w:customStyle="1" w:styleId="61">
    <w:name w:val="标准文件_数字编号列项（二级）"/>
    <w:next w:val="25"/>
    <w:qFormat/>
    <w:uiPriority w:val="0"/>
    <w:pPr>
      <w:numPr>
        <w:ilvl w:val="1"/>
        <w:numId w:val="6"/>
      </w:numPr>
      <w:tabs>
        <w:tab w:val="left" w:pos="1259"/>
        <w:tab w:val="clear" w:pos="1276"/>
      </w:tabs>
      <w:ind w:left="1259" w:hanging="419"/>
      <w:jc w:val="both"/>
    </w:pPr>
    <w:rPr>
      <w:rFonts w:hint="eastAsia" w:ascii="宋体" w:hAnsi="Times New Roman" w:eastAsia="宋体" w:cs="Times New Roman"/>
      <w:sz w:val="21"/>
    </w:rPr>
  </w:style>
  <w:style w:type="paragraph" w:customStyle="1" w:styleId="62">
    <w:name w:val="标准文件_引言一级条标题"/>
    <w:basedOn w:val="25"/>
    <w:next w:val="25"/>
    <w:qFormat/>
    <w:uiPriority w:val="0"/>
    <w:pPr>
      <w:numPr>
        <w:ilvl w:val="1"/>
        <w:numId w:val="4"/>
      </w:numPr>
      <w:spacing w:before="157" w:beforeLines="50" w:after="157" w:afterLines="50"/>
    </w:pPr>
    <w:rPr>
      <w:rFonts w:ascii="黑体" w:hAnsi="黑体" w:eastAsia="黑体" w:cs="黑体"/>
    </w:rPr>
  </w:style>
  <w:style w:type="paragraph" w:customStyle="1" w:styleId="63">
    <w:name w:val="标准文件_引言二级条标题"/>
    <w:basedOn w:val="25"/>
    <w:next w:val="25"/>
    <w:qFormat/>
    <w:uiPriority w:val="0"/>
    <w:pPr>
      <w:numPr>
        <w:ilvl w:val="2"/>
        <w:numId w:val="4"/>
      </w:numPr>
      <w:spacing w:before="157" w:beforeLines="50" w:after="157" w:afterLines="50"/>
    </w:pPr>
    <w:rPr>
      <w:rFonts w:ascii="黑体" w:hAnsi="黑体" w:eastAsia="黑体" w:cs="黑体"/>
    </w:rPr>
  </w:style>
  <w:style w:type="paragraph" w:customStyle="1" w:styleId="64">
    <w:name w:val="标准文件_引言三级条标题"/>
    <w:basedOn w:val="25"/>
    <w:next w:val="25"/>
    <w:qFormat/>
    <w:uiPriority w:val="0"/>
    <w:pPr>
      <w:numPr>
        <w:ilvl w:val="3"/>
        <w:numId w:val="4"/>
      </w:numPr>
      <w:spacing w:before="157" w:beforeLines="50" w:after="157" w:afterLines="50"/>
    </w:pPr>
    <w:rPr>
      <w:rFonts w:ascii="黑体" w:hAnsi="黑体" w:eastAsia="黑体" w:cs="黑体"/>
    </w:rPr>
  </w:style>
  <w:style w:type="paragraph" w:customStyle="1" w:styleId="65">
    <w:name w:val="标准文件_引言四级条标题"/>
    <w:basedOn w:val="25"/>
    <w:next w:val="25"/>
    <w:qFormat/>
    <w:uiPriority w:val="0"/>
    <w:pPr>
      <w:numPr>
        <w:ilvl w:val="4"/>
        <w:numId w:val="4"/>
      </w:numPr>
      <w:spacing w:before="157" w:beforeLines="50" w:after="157" w:afterLines="50"/>
    </w:pPr>
    <w:rPr>
      <w:rFonts w:ascii="黑体" w:hAnsi="黑体" w:eastAsia="黑体" w:cs="黑体"/>
    </w:rPr>
  </w:style>
  <w:style w:type="paragraph" w:customStyle="1" w:styleId="66">
    <w:name w:val="标准文件_引言五级条标题"/>
    <w:basedOn w:val="25"/>
    <w:next w:val="25"/>
    <w:qFormat/>
    <w:uiPriority w:val="0"/>
    <w:pPr>
      <w:numPr>
        <w:ilvl w:val="5"/>
        <w:numId w:val="4"/>
      </w:numPr>
      <w:spacing w:before="157" w:beforeLines="50" w:after="157" w:afterLines="50"/>
    </w:pPr>
    <w:rPr>
      <w:rFonts w:ascii="黑体" w:hAnsi="黑体" w:eastAsia="黑体" w:cs="黑体"/>
    </w:rPr>
  </w:style>
  <w:style w:type="paragraph" w:customStyle="1" w:styleId="67">
    <w:name w:val="标准文件_引言一级无标题"/>
    <w:basedOn w:val="62"/>
    <w:next w:val="25"/>
    <w:qFormat/>
    <w:uiPriority w:val="0"/>
    <w:pPr>
      <w:spacing w:before="4" w:beforeLines="1" w:after="4" w:afterLines="1" w:line="276" w:lineRule="auto"/>
    </w:pPr>
    <w:rPr>
      <w:rFonts w:ascii="宋体" w:hAnsi="宋体" w:eastAsia="宋体" w:cs="宋体"/>
    </w:rPr>
  </w:style>
  <w:style w:type="paragraph" w:customStyle="1" w:styleId="68">
    <w:name w:val="标准文件_引言二级无标题"/>
    <w:basedOn w:val="63"/>
    <w:next w:val="25"/>
    <w:qFormat/>
    <w:uiPriority w:val="0"/>
    <w:pPr>
      <w:spacing w:before="4" w:beforeLines="1" w:after="4" w:afterLines="1" w:line="276" w:lineRule="auto"/>
    </w:pPr>
    <w:rPr>
      <w:rFonts w:ascii="宋体" w:hAnsi="宋体" w:eastAsia="宋体" w:cs="宋体"/>
    </w:rPr>
  </w:style>
  <w:style w:type="paragraph" w:customStyle="1" w:styleId="69">
    <w:name w:val="标准文件_引言三级无标题"/>
    <w:basedOn w:val="64"/>
    <w:next w:val="25"/>
    <w:qFormat/>
    <w:uiPriority w:val="0"/>
    <w:pPr>
      <w:spacing w:before="4" w:beforeLines="1" w:after="4" w:afterLines="1" w:line="276" w:lineRule="auto"/>
    </w:pPr>
    <w:rPr>
      <w:rFonts w:ascii="宋体" w:hAnsi="宋体" w:eastAsia="宋体" w:cs="宋体"/>
    </w:rPr>
  </w:style>
  <w:style w:type="paragraph" w:customStyle="1" w:styleId="70">
    <w:name w:val="标准文件_引言四级无标题"/>
    <w:basedOn w:val="65"/>
    <w:next w:val="25"/>
    <w:qFormat/>
    <w:uiPriority w:val="0"/>
    <w:pPr>
      <w:spacing w:before="4" w:beforeLines="1" w:after="4" w:afterLines="1" w:line="276" w:lineRule="auto"/>
    </w:pPr>
    <w:rPr>
      <w:rFonts w:ascii="宋体" w:hAnsi="宋体" w:eastAsia="宋体" w:cs="宋体"/>
    </w:rPr>
  </w:style>
  <w:style w:type="paragraph" w:customStyle="1" w:styleId="71">
    <w:name w:val="标准文件_引言五级无标题"/>
    <w:basedOn w:val="66"/>
    <w:next w:val="25"/>
    <w:qFormat/>
    <w:uiPriority w:val="0"/>
    <w:pPr>
      <w:spacing w:before="4" w:beforeLines="1" w:after="4" w:afterLines="1" w:line="276" w:lineRule="auto"/>
    </w:pPr>
    <w:rPr>
      <w:rFonts w:ascii="宋体" w:hAnsi="宋体" w:eastAsia="宋体" w:cs="宋体"/>
    </w:rPr>
  </w:style>
  <w:style w:type="paragraph" w:customStyle="1" w:styleId="72">
    <w:name w:val="标准文件_章标题"/>
    <w:next w:val="25"/>
    <w:qFormat/>
    <w:uiPriority w:val="0"/>
    <w:pPr>
      <w:numPr>
        <w:ilvl w:val="0"/>
        <w:numId w:val="7"/>
      </w:numPr>
      <w:suppressAutoHyphens w:val="0"/>
      <w:spacing w:before="313" w:beforeLines="100" w:after="313" w:afterLines="100"/>
      <w:jc w:val="both"/>
      <w:outlineLvl w:val="0"/>
    </w:pPr>
    <w:rPr>
      <w:rFonts w:hint="eastAsia" w:ascii="黑体" w:hAnsi="Times New Roman" w:eastAsia="黑体" w:cs="黑体"/>
      <w:sz w:val="21"/>
    </w:rPr>
  </w:style>
  <w:style w:type="paragraph" w:customStyle="1" w:styleId="73">
    <w:name w:val="标准文件_一级条标题"/>
    <w:basedOn w:val="72"/>
    <w:next w:val="25"/>
    <w:qFormat/>
    <w:uiPriority w:val="0"/>
    <w:pPr>
      <w:numPr>
        <w:ilvl w:val="1"/>
      </w:numPr>
      <w:spacing w:before="157" w:beforeLines="50" w:after="157" w:afterLines="50"/>
      <w:outlineLvl w:val="1"/>
    </w:pPr>
    <w:rPr>
      <w:rFonts w:hAnsi="Times New Roman"/>
    </w:rPr>
  </w:style>
  <w:style w:type="paragraph" w:customStyle="1" w:styleId="74">
    <w:name w:val="标准文件_二级条标题"/>
    <w:next w:val="25"/>
    <w:qFormat/>
    <w:uiPriority w:val="0"/>
    <w:pPr>
      <w:numPr>
        <w:ilvl w:val="2"/>
        <w:numId w:val="7"/>
      </w:numPr>
      <w:suppressAutoHyphens w:val="0"/>
      <w:spacing w:before="157" w:beforeLines="50" w:after="157" w:afterLines="50"/>
      <w:jc w:val="both"/>
      <w:outlineLvl w:val="2"/>
    </w:pPr>
    <w:rPr>
      <w:rFonts w:hint="eastAsia" w:ascii="黑体" w:hAnsi="黑体" w:eastAsia="黑体" w:cs="黑体"/>
      <w:sz w:val="21"/>
    </w:rPr>
  </w:style>
  <w:style w:type="paragraph" w:customStyle="1" w:styleId="75">
    <w:name w:val="标准文件_三级条标题"/>
    <w:basedOn w:val="74"/>
    <w:next w:val="25"/>
    <w:qFormat/>
    <w:uiPriority w:val="0"/>
    <w:pPr>
      <w:numPr>
        <w:ilvl w:val="3"/>
      </w:numPr>
      <w:spacing w:before="157" w:after="157"/>
      <w:outlineLvl w:val="3"/>
    </w:pPr>
  </w:style>
  <w:style w:type="paragraph" w:customStyle="1" w:styleId="76">
    <w:name w:val="标准文件_四级条标题"/>
    <w:next w:val="25"/>
    <w:qFormat/>
    <w:uiPriority w:val="0"/>
    <w:pPr>
      <w:numPr>
        <w:ilvl w:val="4"/>
        <w:numId w:val="7"/>
      </w:numPr>
      <w:suppressAutoHyphens w:val="0"/>
      <w:spacing w:before="157" w:beforeLines="50" w:after="157" w:afterLines="50"/>
      <w:jc w:val="both"/>
      <w:outlineLvl w:val="4"/>
    </w:pPr>
    <w:rPr>
      <w:rFonts w:hint="eastAsia" w:ascii="黑体" w:hAnsi="黑体" w:eastAsia="黑体" w:cs="黑体"/>
      <w:sz w:val="21"/>
    </w:rPr>
  </w:style>
  <w:style w:type="paragraph" w:customStyle="1" w:styleId="77">
    <w:name w:val="标准文件_五级条标题"/>
    <w:next w:val="25"/>
    <w:qFormat/>
    <w:uiPriority w:val="0"/>
    <w:pPr>
      <w:numPr>
        <w:ilvl w:val="5"/>
        <w:numId w:val="7"/>
      </w:numPr>
      <w:suppressAutoHyphens w:val="0"/>
      <w:spacing w:before="157" w:beforeLines="50" w:after="157" w:afterLines="50"/>
      <w:jc w:val="both"/>
      <w:outlineLvl w:val="4"/>
    </w:pPr>
    <w:rPr>
      <w:rFonts w:hint="eastAsia" w:ascii="黑体" w:hAnsi="黑体" w:eastAsia="黑体" w:cs="黑体"/>
      <w:sz w:val="21"/>
    </w:rPr>
  </w:style>
  <w:style w:type="paragraph" w:customStyle="1" w:styleId="78">
    <w:name w:val="标准文件_一级无标题"/>
    <w:basedOn w:val="73"/>
    <w:qFormat/>
    <w:uiPriority w:val="0"/>
    <w:pPr>
      <w:spacing w:before="4" w:beforeLines="1" w:after="4" w:afterLines="1"/>
      <w:outlineLvl w:val="9"/>
    </w:pPr>
    <w:rPr>
      <w:rFonts w:ascii="宋体" w:hAnsi="宋体" w:eastAsia="宋体" w:cs="宋体"/>
    </w:rPr>
  </w:style>
  <w:style w:type="paragraph" w:customStyle="1" w:styleId="79">
    <w:name w:val="标准文件_二级无标题"/>
    <w:basedOn w:val="74"/>
    <w:qFormat/>
    <w:uiPriority w:val="0"/>
    <w:pPr>
      <w:spacing w:before="4" w:beforeLines="1" w:after="4" w:afterLines="1"/>
      <w:outlineLvl w:val="9"/>
    </w:pPr>
    <w:rPr>
      <w:rFonts w:ascii="宋体" w:hAnsi="宋体" w:eastAsia="宋体" w:cs="宋体"/>
    </w:rPr>
  </w:style>
  <w:style w:type="paragraph" w:customStyle="1" w:styleId="80">
    <w:name w:val="标准文件_三级无标题"/>
    <w:basedOn w:val="75"/>
    <w:qFormat/>
    <w:uiPriority w:val="0"/>
    <w:pPr>
      <w:spacing w:before="4" w:beforeLines="1" w:after="4" w:afterLines="1"/>
      <w:outlineLvl w:val="9"/>
    </w:pPr>
    <w:rPr>
      <w:rFonts w:ascii="宋体" w:hAnsi="宋体" w:eastAsia="宋体" w:cs="宋体"/>
    </w:rPr>
  </w:style>
  <w:style w:type="paragraph" w:customStyle="1" w:styleId="81">
    <w:name w:val="标准文件_四级无标题"/>
    <w:basedOn w:val="76"/>
    <w:qFormat/>
    <w:uiPriority w:val="0"/>
    <w:pPr>
      <w:spacing w:before="4" w:beforeLines="1" w:after="4" w:afterLines="1"/>
      <w:outlineLvl w:val="9"/>
    </w:pPr>
    <w:rPr>
      <w:rFonts w:ascii="宋体" w:hAnsi="宋体" w:eastAsia="宋体" w:cs="宋体"/>
    </w:rPr>
  </w:style>
  <w:style w:type="paragraph" w:customStyle="1" w:styleId="82">
    <w:name w:val="标准文件_五级无标题"/>
    <w:basedOn w:val="77"/>
    <w:qFormat/>
    <w:uiPriority w:val="0"/>
    <w:pPr>
      <w:spacing w:before="4" w:beforeLines="1" w:after="4" w:afterLines="1"/>
      <w:outlineLvl w:val="9"/>
    </w:pPr>
    <w:rPr>
      <w:rFonts w:ascii="宋体" w:hAnsi="宋体" w:eastAsia="宋体" w:cs="宋体"/>
    </w:rPr>
  </w:style>
  <w:style w:type="paragraph" w:customStyle="1" w:styleId="83">
    <w:name w:val="标准文件_术语条一"/>
    <w:basedOn w:val="78"/>
    <w:next w:val="25"/>
    <w:qFormat/>
    <w:uiPriority w:val="0"/>
    <w:pPr>
      <w:ind w:left="960" w:hanging="960" w:hangingChars="200"/>
    </w:pPr>
    <w:rPr>
      <w:rFonts w:ascii="黑体" w:hAnsi="黑体" w:eastAsia="黑体" w:cs="黑体"/>
    </w:rPr>
  </w:style>
  <w:style w:type="paragraph" w:customStyle="1" w:styleId="84">
    <w:name w:val="标准文件_术语条二"/>
    <w:basedOn w:val="79"/>
    <w:next w:val="25"/>
    <w:qFormat/>
    <w:uiPriority w:val="0"/>
    <w:pPr>
      <w:ind w:left="960" w:hanging="960" w:hangingChars="200"/>
    </w:pPr>
    <w:rPr>
      <w:rFonts w:ascii="黑体" w:hAnsi="黑体" w:eastAsia="黑体" w:cs="黑体"/>
    </w:rPr>
  </w:style>
  <w:style w:type="paragraph" w:customStyle="1" w:styleId="85">
    <w:name w:val="标准文件_术语条三"/>
    <w:basedOn w:val="80"/>
    <w:next w:val="25"/>
    <w:qFormat/>
    <w:uiPriority w:val="0"/>
    <w:pPr>
      <w:ind w:left="960" w:hanging="960" w:hangingChars="200"/>
    </w:pPr>
    <w:rPr>
      <w:rFonts w:ascii="黑体" w:hAnsi="黑体" w:eastAsia="黑体" w:cs="黑体"/>
    </w:rPr>
  </w:style>
  <w:style w:type="paragraph" w:customStyle="1" w:styleId="86">
    <w:name w:val="标准文件_术语条四"/>
    <w:basedOn w:val="81"/>
    <w:next w:val="25"/>
    <w:qFormat/>
    <w:uiPriority w:val="0"/>
    <w:pPr>
      <w:ind w:left="960" w:hanging="960" w:hangingChars="200"/>
    </w:pPr>
    <w:rPr>
      <w:rFonts w:ascii="黑体" w:hAnsi="黑体" w:eastAsia="黑体" w:cs="黑体"/>
    </w:rPr>
  </w:style>
  <w:style w:type="paragraph" w:customStyle="1" w:styleId="87">
    <w:name w:val="标准文件_术语条五"/>
    <w:basedOn w:val="82"/>
    <w:next w:val="25"/>
    <w:qFormat/>
    <w:uiPriority w:val="0"/>
    <w:pPr>
      <w:ind w:left="960" w:hanging="960" w:hangingChars="200"/>
    </w:pPr>
    <w:rPr>
      <w:rFonts w:ascii="黑体" w:hAnsi="黑体" w:eastAsia="黑体" w:cs="黑体"/>
    </w:rPr>
  </w:style>
  <w:style w:type="paragraph" w:customStyle="1" w:styleId="88">
    <w:name w:val="标准文件_附录标识"/>
    <w:basedOn w:val="1"/>
    <w:next w:val="25"/>
    <w:qFormat/>
    <w:uiPriority w:val="0"/>
    <w:pPr>
      <w:widowControl/>
      <w:numPr>
        <w:ilvl w:val="0"/>
        <w:numId w:val="8"/>
      </w:numPr>
      <w:suppressAutoHyphens w:val="0"/>
      <w:spacing w:before="79" w:beforeLines="25" w:after="157" w:afterLines="50"/>
      <w:jc w:val="center"/>
      <w:outlineLvl w:val="0"/>
    </w:pPr>
    <w:rPr>
      <w:rFonts w:ascii="黑体" w:hAnsi="黑体" w:eastAsia="黑体" w:cs="黑体"/>
    </w:rPr>
  </w:style>
  <w:style w:type="paragraph" w:customStyle="1" w:styleId="89">
    <w:name w:val="标准文件_附录一级条标题"/>
    <w:next w:val="25"/>
    <w:qFormat/>
    <w:uiPriority w:val="0"/>
    <w:pPr>
      <w:numPr>
        <w:ilvl w:val="1"/>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0">
    <w:name w:val="标准文件_附录二级条标题"/>
    <w:next w:val="25"/>
    <w:qFormat/>
    <w:uiPriority w:val="0"/>
    <w:pPr>
      <w:numPr>
        <w:ilvl w:val="2"/>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1">
    <w:name w:val="标准文件_附录三级条标题"/>
    <w:next w:val="25"/>
    <w:qFormat/>
    <w:uiPriority w:val="0"/>
    <w:pPr>
      <w:numPr>
        <w:ilvl w:val="3"/>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2">
    <w:name w:val="标准文件_附录四级条标题"/>
    <w:next w:val="25"/>
    <w:qFormat/>
    <w:uiPriority w:val="0"/>
    <w:pPr>
      <w:numPr>
        <w:ilvl w:val="4"/>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3">
    <w:name w:val="标准文件_附录五级条标题"/>
    <w:next w:val="25"/>
    <w:qFormat/>
    <w:uiPriority w:val="0"/>
    <w:pPr>
      <w:numPr>
        <w:ilvl w:val="5"/>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4">
    <w:name w:val="标准文件_附录一级无标题"/>
    <w:basedOn w:val="89"/>
    <w:qFormat/>
    <w:uiPriority w:val="0"/>
    <w:pPr>
      <w:spacing w:before="4" w:beforeLines="1" w:after="4" w:afterLines="1" w:line="276" w:lineRule="auto"/>
    </w:pPr>
    <w:rPr>
      <w:rFonts w:ascii="宋体" w:hAnsi="宋体" w:eastAsia="宋体" w:cs="宋体"/>
    </w:rPr>
  </w:style>
  <w:style w:type="paragraph" w:customStyle="1" w:styleId="95">
    <w:name w:val="标准文件_附录二级无标题"/>
    <w:basedOn w:val="90"/>
    <w:qFormat/>
    <w:uiPriority w:val="0"/>
    <w:pPr>
      <w:spacing w:before="4" w:beforeLines="1" w:after="4" w:afterLines="1" w:line="276" w:lineRule="auto"/>
    </w:pPr>
    <w:rPr>
      <w:rFonts w:ascii="宋体" w:hAnsi="宋体" w:eastAsia="宋体" w:cs="宋体"/>
    </w:rPr>
  </w:style>
  <w:style w:type="paragraph" w:customStyle="1" w:styleId="96">
    <w:name w:val="标准文件_附录三级无标题"/>
    <w:basedOn w:val="91"/>
    <w:qFormat/>
    <w:uiPriority w:val="0"/>
    <w:pPr>
      <w:spacing w:before="4" w:beforeLines="1" w:after="4" w:afterLines="1" w:line="276" w:lineRule="auto"/>
    </w:pPr>
    <w:rPr>
      <w:rFonts w:ascii="宋体" w:hAnsi="宋体" w:eastAsia="宋体" w:cs="宋体"/>
    </w:rPr>
  </w:style>
  <w:style w:type="paragraph" w:customStyle="1" w:styleId="97">
    <w:name w:val="标准文件_附录四级无标题"/>
    <w:basedOn w:val="92"/>
    <w:qFormat/>
    <w:uiPriority w:val="0"/>
    <w:pPr>
      <w:spacing w:before="4" w:beforeLines="1" w:after="4" w:afterLines="1" w:line="276" w:lineRule="auto"/>
    </w:pPr>
    <w:rPr>
      <w:rFonts w:ascii="宋体" w:hAnsi="宋体" w:eastAsia="宋体" w:cs="宋体"/>
    </w:rPr>
  </w:style>
  <w:style w:type="paragraph" w:customStyle="1" w:styleId="98">
    <w:name w:val="标准文件_附录五级无标题"/>
    <w:basedOn w:val="93"/>
    <w:qFormat/>
    <w:uiPriority w:val="0"/>
    <w:pPr>
      <w:spacing w:before="4" w:beforeLines="1" w:after="4" w:afterLines="1" w:line="276" w:lineRule="auto"/>
    </w:pPr>
    <w:rPr>
      <w:rFonts w:ascii="宋体" w:hAnsi="宋体" w:eastAsia="宋体" w:cs="宋体"/>
    </w:rPr>
  </w:style>
  <w:style w:type="paragraph" w:customStyle="1" w:styleId="99">
    <w:name w:val="附录图标号"/>
    <w:basedOn w:val="25"/>
    <w:next w:val="25"/>
    <w:qFormat/>
    <w:uiPriority w:val="0"/>
    <w:pPr>
      <w:numPr>
        <w:ilvl w:val="0"/>
        <w:numId w:val="2"/>
      </w:numPr>
      <w:spacing w:line="14" w:lineRule="exact"/>
      <w:ind w:left="0"/>
      <w:jc w:val="center"/>
    </w:pPr>
    <w:rPr>
      <w:sz w:val="2"/>
    </w:rPr>
  </w:style>
  <w:style w:type="paragraph" w:customStyle="1" w:styleId="100">
    <w:name w:val="附录图标题"/>
    <w:next w:val="25"/>
    <w:qFormat/>
    <w:uiPriority w:val="0"/>
    <w:pPr>
      <w:numPr>
        <w:ilvl w:val="1"/>
        <w:numId w:val="2"/>
      </w:numPr>
      <w:spacing w:before="157" w:beforeLines="50" w:after="157" w:afterLines="50"/>
      <w:jc w:val="center"/>
    </w:pPr>
    <w:rPr>
      <w:rFonts w:hint="eastAsia" w:ascii="黑体" w:hAnsi="黑体" w:eastAsia="黑体" w:cs="黑体"/>
      <w:sz w:val="21"/>
    </w:rPr>
  </w:style>
  <w:style w:type="paragraph" w:customStyle="1" w:styleId="101">
    <w:name w:val="附录表标号"/>
    <w:basedOn w:val="25"/>
    <w:next w:val="25"/>
    <w:qFormat/>
    <w:uiPriority w:val="0"/>
    <w:pPr>
      <w:numPr>
        <w:ilvl w:val="0"/>
        <w:numId w:val="9"/>
      </w:numPr>
      <w:spacing w:line="14" w:lineRule="exact"/>
      <w:ind w:left="0"/>
      <w:jc w:val="center"/>
    </w:pPr>
    <w:rPr>
      <w:sz w:val="2"/>
    </w:rPr>
  </w:style>
  <w:style w:type="paragraph" w:customStyle="1" w:styleId="102">
    <w:name w:val="附录表标题"/>
    <w:next w:val="25"/>
    <w:qFormat/>
    <w:uiPriority w:val="0"/>
    <w:pPr>
      <w:numPr>
        <w:ilvl w:val="1"/>
        <w:numId w:val="9"/>
      </w:numPr>
      <w:spacing w:before="157" w:beforeLines="50" w:after="157" w:afterLines="50"/>
      <w:jc w:val="center"/>
    </w:pPr>
    <w:rPr>
      <w:rFonts w:hint="eastAsia" w:ascii="黑体" w:hAnsi="黑体" w:eastAsia="黑体" w:cs="黑体"/>
      <w:sz w:val="21"/>
    </w:rPr>
  </w:style>
  <w:style w:type="paragraph" w:customStyle="1" w:styleId="103">
    <w:name w:val="标准文件_示例内容"/>
    <w:basedOn w:val="25"/>
    <w:qFormat/>
    <w:uiPriority w:val="0"/>
    <w:pPr>
      <w:suppressAutoHyphens w:val="0"/>
    </w:pPr>
    <w:rPr>
      <w:rFonts w:hAnsi="宋体"/>
      <w:sz w:val="18"/>
    </w:rPr>
  </w:style>
  <w:style w:type="paragraph" w:customStyle="1" w:styleId="104">
    <w:name w:val="标准文件_示例"/>
    <w:next w:val="103"/>
    <w:qFormat/>
    <w:uiPriority w:val="0"/>
    <w:pPr>
      <w:numPr>
        <w:ilvl w:val="0"/>
        <w:numId w:val="10"/>
      </w:numPr>
      <w:suppressAutoHyphens w:val="0"/>
      <w:spacing w:beforeLines="0" w:afterLines="0"/>
      <w:jc w:val="both"/>
    </w:pPr>
    <w:rPr>
      <w:rFonts w:hint="eastAsia" w:ascii="宋体" w:hAnsi="宋体" w:eastAsia="宋体" w:cs="宋体"/>
      <w:sz w:val="18"/>
    </w:rPr>
  </w:style>
  <w:style w:type="paragraph" w:customStyle="1" w:styleId="105">
    <w:name w:val="标准文件_示例×"/>
    <w:basedOn w:val="1"/>
    <w:next w:val="103"/>
    <w:qFormat/>
    <w:uiPriority w:val="0"/>
    <w:pPr>
      <w:widowControl/>
      <w:numPr>
        <w:ilvl w:val="0"/>
        <w:numId w:val="11"/>
      </w:numPr>
      <w:suppressAutoHyphens w:val="0"/>
      <w:spacing w:beforeLines="0" w:afterLines="0"/>
      <w:ind w:firstLine="363"/>
    </w:pPr>
    <w:rPr>
      <w:rFonts w:hAnsi="Times New Roman"/>
      <w:sz w:val="18"/>
    </w:rPr>
  </w:style>
  <w:style w:type="paragraph" w:customStyle="1" w:styleId="106">
    <w:name w:val="标准文件_注"/>
    <w:next w:val="25"/>
    <w:qFormat/>
    <w:uiPriority w:val="0"/>
    <w:pPr>
      <w:numPr>
        <w:ilvl w:val="0"/>
        <w:numId w:val="12"/>
      </w:numPr>
      <w:autoSpaceDE w:val="0"/>
      <w:autoSpaceDN w:val="0"/>
      <w:spacing w:beforeLines="0" w:afterLines="0"/>
      <w:jc w:val="both"/>
    </w:pPr>
    <w:rPr>
      <w:rFonts w:hint="eastAsia" w:ascii="宋体" w:hAnsi="宋体" w:eastAsia="宋体" w:cs="宋体"/>
      <w:sz w:val="18"/>
    </w:rPr>
  </w:style>
  <w:style w:type="paragraph" w:customStyle="1" w:styleId="107">
    <w:name w:val="标准文件_注×"/>
    <w:next w:val="25"/>
    <w:qFormat/>
    <w:uiPriority w:val="0"/>
    <w:pPr>
      <w:numPr>
        <w:ilvl w:val="0"/>
        <w:numId w:val="13"/>
      </w:numPr>
      <w:spacing w:beforeLines="0" w:afterLines="0"/>
      <w:jc w:val="both"/>
    </w:pPr>
    <w:rPr>
      <w:rFonts w:hint="eastAsia" w:ascii="宋体" w:hAnsi="宋体" w:eastAsia="宋体" w:cs="宋体"/>
      <w:sz w:val="18"/>
    </w:rPr>
  </w:style>
  <w:style w:type="paragraph" w:customStyle="1" w:styleId="108">
    <w:name w:val="标准文件_图表脚注"/>
    <w:basedOn w:val="1"/>
    <w:next w:val="25"/>
    <w:qFormat/>
    <w:uiPriority w:val="0"/>
    <w:pPr>
      <w:numPr>
        <w:ilvl w:val="0"/>
        <w:numId w:val="14"/>
      </w:numPr>
      <w:suppressAutoHyphens w:val="0"/>
      <w:adjustRightInd w:val="0"/>
      <w:spacing w:beforeLines="0" w:afterLines="0"/>
      <w:jc w:val="left"/>
    </w:pPr>
    <w:rPr>
      <w:rFonts w:hAnsi="宋体"/>
      <w:sz w:val="18"/>
    </w:rPr>
  </w:style>
  <w:style w:type="paragraph" w:customStyle="1" w:styleId="109">
    <w:name w:val="标准文件_标准正文"/>
    <w:basedOn w:val="1"/>
    <w:next w:val="25"/>
    <w:qFormat/>
    <w:uiPriority w:val="0"/>
    <w:pPr>
      <w:ind w:firstLine="960" w:firstLineChars="200"/>
    </w:pPr>
  </w:style>
  <w:style w:type="paragraph" w:customStyle="1" w:styleId="110">
    <w:name w:val="标准文件_正文公式"/>
    <w:basedOn w:val="1"/>
    <w:next w:val="109"/>
    <w:qFormat/>
    <w:uiPriority w:val="0"/>
    <w:pPr>
      <w:tabs>
        <w:tab w:val="center" w:pos="4678"/>
        <w:tab w:val="right" w:leader="middleDot" w:pos="9355"/>
      </w:tabs>
    </w:pPr>
  </w:style>
  <w:style w:type="paragraph" w:customStyle="1" w:styleId="111">
    <w:name w:val="标准文件_表格"/>
    <w:basedOn w:val="25"/>
    <w:qFormat/>
    <w:uiPriority w:val="0"/>
    <w:pPr>
      <w:jc w:val="center"/>
    </w:pPr>
    <w:rPr>
      <w:sz w:val="18"/>
    </w:rPr>
  </w:style>
  <w:style w:type="paragraph" w:customStyle="1" w:styleId="112">
    <w:name w:val="终结线"/>
    <w:basedOn w:val="1"/>
    <w:qFormat/>
    <w:uiPriority w:val="0"/>
    <w:pPr>
      <w:framePr w:hSpace="181" w:vSpace="181" w:wrap="around" w:vAnchor="text" w:hAnchor="margin" w:xAlign="center" w:y="285"/>
    </w:pPr>
    <w:rPr>
      <w:rFonts w:ascii="Times New Roman" w:hAnsi="Times New Roman" w:cs="Times New Roman"/>
      <w:b/>
      <w:sz w:val="34"/>
    </w:rPr>
  </w:style>
  <w:style w:type="paragraph" w:customStyle="1" w:styleId="113">
    <w:name w:val="标准文件_正文表标题"/>
    <w:next w:val="25"/>
    <w:qFormat/>
    <w:uiPriority w:val="0"/>
    <w:pPr>
      <w:numPr>
        <w:ilvl w:val="0"/>
        <w:numId w:val="15"/>
      </w:numPr>
      <w:spacing w:before="157" w:beforeLines="50" w:after="157" w:afterLines="50"/>
      <w:jc w:val="center"/>
    </w:pPr>
    <w:rPr>
      <w:rFonts w:hint="eastAsia" w:ascii="黑体" w:hAnsi="黑体" w:eastAsia="黑体" w:cs="黑体"/>
      <w:sz w:val="21"/>
    </w:rPr>
  </w:style>
  <w:style w:type="paragraph" w:customStyle="1" w:styleId="114">
    <w:name w:val="标准文件_正文图标题"/>
    <w:next w:val="25"/>
    <w:qFormat/>
    <w:uiPriority w:val="0"/>
    <w:pPr>
      <w:numPr>
        <w:ilvl w:val="0"/>
        <w:numId w:val="16"/>
      </w:numPr>
      <w:spacing w:before="157" w:beforeLines="50" w:after="157" w:afterLines="50"/>
      <w:jc w:val="center"/>
    </w:pPr>
    <w:rPr>
      <w:rFonts w:hint="eastAsia" w:ascii="黑体" w:hAnsi="黑体" w:eastAsia="黑体" w:cs="黑体"/>
      <w:sz w:val="21"/>
    </w:rPr>
  </w:style>
  <w:style w:type="paragraph" w:customStyle="1" w:styleId="115">
    <w:name w:val="标准文件_索引标题"/>
    <w:basedOn w:val="34"/>
    <w:next w:val="25"/>
    <w:qFormat/>
    <w:uiPriority w:val="0"/>
    <w:rPr>
      <w:rFonts w:hAnsi="黑体"/>
    </w:rPr>
  </w:style>
  <w:style w:type="paragraph" w:customStyle="1" w:styleId="116">
    <w:name w:val="标准文件_索引项"/>
    <w:basedOn w:val="25"/>
    <w:next w:val="25"/>
    <w:qFormat/>
    <w:uiPriority w:val="0"/>
    <w:pPr>
      <w:tabs>
        <w:tab w:val="right" w:leader="dot" w:pos="9355"/>
      </w:tabs>
      <w:autoSpaceDE w:val="0"/>
      <w:autoSpaceDN w:val="0"/>
      <w:ind w:left="177" w:hanging="177" w:hangingChars="37"/>
      <w:jc w:val="left"/>
    </w:pPr>
  </w:style>
  <w:style w:type="paragraph" w:customStyle="1" w:styleId="117">
    <w:name w:val="标准文件_索引字母"/>
    <w:next w:val="25"/>
    <w:qFormat/>
    <w:uiPriority w:val="0"/>
    <w:pPr>
      <w:spacing w:beforeLines="0" w:afterLines="0"/>
      <w:jc w:val="center"/>
    </w:pPr>
    <w:rPr>
      <w:rFonts w:hint="eastAsia" w:ascii="宋体" w:hAnsi="宋体" w:eastAsia="宋体" w:cs="宋体"/>
      <w:b/>
      <w:kern w:val="2"/>
      <w:sz w:val="21"/>
    </w:rPr>
  </w:style>
  <w:style w:type="paragraph" w:customStyle="1" w:styleId="118">
    <w:name w:val="标准文件_提示"/>
    <w:basedOn w:val="1"/>
    <w:qFormat/>
    <w:uiPriority w:val="0"/>
    <w:pPr>
      <w:ind w:firstLine="960" w:firstLineChars="200"/>
    </w:pPr>
    <w:rPr>
      <w:rFonts w:ascii="黑体" w:hAnsi="黑体" w:eastAsia="黑体" w:cs="黑体"/>
    </w:rPr>
  </w:style>
  <w:style w:type="paragraph" w:customStyle="1" w:styleId="119">
    <w:name w:val="标准文件_参考文献编号"/>
    <w:basedOn w:val="25"/>
    <w:qFormat/>
    <w:uiPriority w:val="0"/>
    <w:pPr>
      <w:numPr>
        <w:ilvl w:val="0"/>
        <w:numId w:val="17"/>
      </w:numPr>
    </w:pPr>
  </w:style>
  <w:style w:type="character" w:customStyle="1" w:styleId="120">
    <w:name w:val="标准文件_正文标准名称 Char"/>
    <w:link w:val="56"/>
    <w:qFormat/>
    <w:uiPriority w:val="0"/>
    <w:rPr>
      <w:rFonts w:ascii="黑体" w:hAnsi="黑体" w:eastAsia="黑体" w:cs="黑体"/>
      <w:sz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9" Type="http://schemas.openxmlformats.org/officeDocument/2006/relationships/glossaryDocument" Target="glossary/document.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image" Target="media/image10.jpeg"/><Relationship Id="rId25" Type="http://schemas.openxmlformats.org/officeDocument/2006/relationships/image" Target="media/image9.emf"/><Relationship Id="rId24" Type="http://schemas.openxmlformats.org/officeDocument/2006/relationships/oleObject" Target="embeddings/oleObject8.bin"/><Relationship Id="rId23" Type="http://schemas.openxmlformats.org/officeDocument/2006/relationships/image" Target="media/image8.emf"/><Relationship Id="rId22" Type="http://schemas.openxmlformats.org/officeDocument/2006/relationships/oleObject" Target="embeddings/oleObject7.bin"/><Relationship Id="rId21" Type="http://schemas.openxmlformats.org/officeDocument/2006/relationships/image" Target="media/image7.e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5.bin"/><Relationship Id="rId17" Type="http://schemas.openxmlformats.org/officeDocument/2006/relationships/image" Target="media/image5.emf"/><Relationship Id="rId16" Type="http://schemas.openxmlformats.org/officeDocument/2006/relationships/oleObject" Target="embeddings/oleObject4.bin"/><Relationship Id="rId15" Type="http://schemas.openxmlformats.org/officeDocument/2006/relationships/image" Target="media/image4.emf"/><Relationship Id="rId14" Type="http://schemas.openxmlformats.org/officeDocument/2006/relationships/oleObject" Target="embeddings/oleObject3.bin"/><Relationship Id="rId13" Type="http://schemas.openxmlformats.org/officeDocument/2006/relationships/image" Target="media/image3.emf"/><Relationship Id="rId12" Type="http://schemas.openxmlformats.org/officeDocument/2006/relationships/oleObject" Target="embeddings/oleObject2.bin"/><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cd7e756-939e-4e43-8281-8734dbd1c558}"/>
        <w:style w:val=""/>
        <w:category>
          <w:name w:val="常规"/>
          <w:gallery w:val="placeholder"/>
        </w:category>
        <w:types>
          <w:type w:val="bbPlcHdr"/>
        </w:types>
        <w:behaviors>
          <w:behavior w:val="content"/>
        </w:behaviors>
        <w:description w:val=""/>
        <w:guid w:val="{3cd7e756-939e-4e43-8281-8734dbd1c558}"/>
      </w:docPartPr>
      <w:docPartBody>
        <w:p w14:paraId="49D8FFCE">
          <w:r>
            <w:rPr>
              <w:color w:val="808080"/>
            </w:rPr>
            <w:t>选择一项。</w:t>
          </w:r>
        </w:p>
      </w:docPartBody>
    </w:docPart>
    <w:docPart>
      <w:docPartPr>
        <w:name w:val="{586bde2f-f29c-4c78-823d-fcbfc8d45f04}"/>
        <w:style w:val=""/>
        <w:category>
          <w:name w:val="常规"/>
          <w:gallery w:val="placeholder"/>
        </w:category>
        <w:types>
          <w:type w:val="bbPlcHdr"/>
        </w:types>
        <w:behaviors>
          <w:behavior w:val="content"/>
        </w:behaviors>
        <w:description w:val=""/>
        <w:guid w:val="{586bde2f-f29c-4c78-823d-fcbfc8d45f04}"/>
      </w:docPartPr>
      <w:docPartBody>
        <w:p w14:paraId="2D7E9824">
          <w:r>
            <w:rPr>
              <w:color w:val="808080"/>
            </w:rPr>
            <w:t>选择一项。</w:t>
          </w:r>
        </w:p>
      </w:docPartBody>
    </w:docPart>
    <w:docPart>
      <w:docPartPr>
        <w:name w:val="{f9d6ba3e-2b6e-4bea-953f-0b9bc2e7e5e3}"/>
        <w:style w:val=""/>
        <w:category>
          <w:name w:val="常规"/>
          <w:gallery w:val="placeholder"/>
        </w:category>
        <w:types>
          <w:type w:val="bbPlcHdr"/>
        </w:types>
        <w:behaviors>
          <w:behavior w:val="content"/>
        </w:behaviors>
        <w:description w:val=""/>
        <w:guid w:val="{f9d6ba3e-2b6e-4bea-953f-0b9bc2e7e5e3}"/>
      </w:docPartPr>
      <w:docPartBody>
        <w:p w14:paraId="389C798D">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2708</Words>
  <Characters>2772</Characters>
  <Lines>0</Lines>
  <Paragraphs>0</Paragraphs>
  <TotalTime>0</TotalTime>
  <ScaleCrop>false</ScaleCrop>
  <LinksUpToDate>false</LinksUpToDate>
  <CharactersWithSpaces>2811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2023-09-06T02:54:00Z</dcterms:created>
  <dc:creator>piere</dc:creator>
  <cp:lastModifiedBy>liuzhimei1949</cp:lastModifiedBy>
  <cp:lastPrinted>2024-08-14T07:11:00Z</cp:lastPrinted>
  <dcterms:modified xsi:type="dcterms:W3CDTF">2025-07-02T01:38:07Z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0AD51EC8100947288B87086D2B7B23ED_12</vt:lpwstr>
  </property>
  <property fmtid="{D5CDD505-2E9C-101B-9397-08002B2CF9AE}" pid="4" name="KSOTemplateDocerSaveRecord">
    <vt:lpwstr>eyJoZGlkIjoiNzQ4MmYzOTM1ZTUxMWYxZDA1NjA3NmY5NTUxMGQ0ZmQiLCJ1c2VySWQiOiIxNjk1Mjk2NjEyIn0=</vt:lpwstr>
  </property>
</Properties>
</file>